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D9" w:rsidRPr="00ED6CC7" w:rsidRDefault="002D1CD9" w:rsidP="00D26A37">
      <w:pPr>
        <w:autoSpaceDE w:val="0"/>
        <w:autoSpaceDN w:val="0"/>
        <w:adjustRightInd w:val="0"/>
        <w:spacing w:after="0"/>
        <w:jc w:val="center"/>
        <w:rPr>
          <w:rFonts w:ascii="Garamond" w:hAnsi="Garamond"/>
        </w:rPr>
      </w:pPr>
      <w:r w:rsidRPr="00ED6CC7">
        <w:rPr>
          <w:rFonts w:ascii="Garamond" w:hAnsi="Garamond"/>
        </w:rPr>
        <w:t>STATEMENT OF MANAGEMENT’S RESPONSIBILITY</w:t>
      </w:r>
      <w:bookmarkStart w:id="0" w:name="_GoBack"/>
      <w:bookmarkEnd w:id="0"/>
    </w:p>
    <w:p w:rsidR="002D1CD9" w:rsidRPr="00ED6CC7" w:rsidRDefault="002D1CD9" w:rsidP="00D26A37">
      <w:pPr>
        <w:autoSpaceDE w:val="0"/>
        <w:autoSpaceDN w:val="0"/>
        <w:adjustRightInd w:val="0"/>
        <w:jc w:val="center"/>
        <w:rPr>
          <w:rFonts w:ascii="Garamond" w:hAnsi="Garamond"/>
        </w:rPr>
      </w:pPr>
      <w:r w:rsidRPr="00ED6CC7">
        <w:rPr>
          <w:rFonts w:ascii="Garamond" w:hAnsi="Garamond"/>
        </w:rPr>
        <w:t>FOR FINANCIAL STATEMENTS</w:t>
      </w:r>
      <w:r w:rsidR="003A1289" w:rsidRPr="00011832">
        <w:rPr>
          <w:rStyle w:val="FootnoteReference"/>
          <w:b/>
        </w:rPr>
        <w:footnoteReference w:id="1"/>
      </w:r>
    </w:p>
    <w:p w:rsidR="002D1CD9" w:rsidRDefault="002D1CD9" w:rsidP="002D1CD9">
      <w:pPr>
        <w:autoSpaceDE w:val="0"/>
        <w:autoSpaceDN w:val="0"/>
        <w:adjustRightInd w:val="0"/>
        <w:rPr>
          <w:rFonts w:ascii="Garamond" w:hAnsi="Garamond"/>
        </w:rPr>
      </w:pPr>
      <w:r w:rsidRPr="00ED6CC7">
        <w:rPr>
          <w:rFonts w:ascii="Garamond" w:hAnsi="Garamond"/>
        </w:rPr>
        <w:t>The managemen</w:t>
      </w:r>
      <w:r>
        <w:rPr>
          <w:rFonts w:ascii="Garamond" w:hAnsi="Garamond"/>
        </w:rPr>
        <w:t xml:space="preserve">t of </w:t>
      </w:r>
      <w:r w:rsidR="008F3478">
        <w:rPr>
          <w:rFonts w:ascii="Garamond" w:hAnsi="Garamond"/>
          <w:i/>
          <w:color w:val="FF0000"/>
        </w:rPr>
        <w:t>(name of reporting entity)</w:t>
      </w:r>
      <w:r>
        <w:rPr>
          <w:rFonts w:ascii="Garamond" w:hAnsi="Garamond"/>
          <w:b/>
          <w:i/>
          <w:color w:val="0033CC"/>
        </w:rPr>
        <w:t xml:space="preserve"> </w:t>
      </w:r>
      <w:r w:rsidRPr="00A1010C">
        <w:rPr>
          <w:rFonts w:ascii="Garamond" w:hAnsi="Garamond"/>
          <w:i/>
          <w:color w:val="FF0000"/>
        </w:rPr>
        <w:t>(the Company</w:t>
      </w:r>
      <w:r w:rsidR="00A1010C">
        <w:rPr>
          <w:rFonts w:ascii="Garamond" w:hAnsi="Garamond"/>
          <w:i/>
          <w:color w:val="FF0000"/>
        </w:rPr>
        <w:t xml:space="preserve"> or the Branch or the Group in case of consolidated financial statements, etc.</w:t>
      </w:r>
      <w:r w:rsidRPr="00A1010C">
        <w:rPr>
          <w:rFonts w:ascii="Garamond" w:hAnsi="Garamond"/>
          <w:i/>
          <w:color w:val="FF0000"/>
        </w:rPr>
        <w:t>)</w:t>
      </w:r>
      <w:r w:rsidR="00A1010C" w:rsidRPr="00A1010C">
        <w:rPr>
          <w:rStyle w:val="FootnoteReference"/>
          <w:b/>
        </w:rPr>
        <w:t xml:space="preserve"> </w:t>
      </w:r>
      <w:r w:rsidR="00A1010C" w:rsidRPr="00011832">
        <w:rPr>
          <w:rStyle w:val="FootnoteReference"/>
          <w:b/>
        </w:rPr>
        <w:footnoteReference w:id="2"/>
      </w:r>
      <w:r w:rsidRPr="00ED6CC7">
        <w:rPr>
          <w:rFonts w:ascii="Garamond" w:hAnsi="Garamond"/>
        </w:rPr>
        <w:t xml:space="preserve"> is responsible for </w:t>
      </w:r>
      <w:r>
        <w:rPr>
          <w:rFonts w:ascii="Garamond" w:hAnsi="Garamond"/>
        </w:rPr>
        <w:t xml:space="preserve">the preparation and fair presentation of </w:t>
      </w:r>
      <w:r w:rsidRPr="00ED6CC7"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 w:rsidRPr="00ED6CC7">
        <w:rPr>
          <w:rFonts w:ascii="Garamond" w:hAnsi="Garamond"/>
        </w:rPr>
        <w:t>finan</w:t>
      </w:r>
      <w:r>
        <w:rPr>
          <w:rFonts w:ascii="Garamond" w:hAnsi="Garamond"/>
        </w:rPr>
        <w:t>cial statements</w:t>
      </w:r>
      <w:r w:rsidR="006A69F7">
        <w:rPr>
          <w:rFonts w:ascii="Garamond" w:hAnsi="Garamond"/>
        </w:rPr>
        <w:t>, including the schedules attached therein,</w:t>
      </w:r>
      <w:r>
        <w:rPr>
          <w:rFonts w:ascii="Garamond" w:hAnsi="Garamond"/>
        </w:rPr>
        <w:t xml:space="preserve"> for the year</w:t>
      </w:r>
      <w:r w:rsidR="006A69F7" w:rsidRPr="006A69F7">
        <w:rPr>
          <w:rFonts w:ascii="Garamond" w:hAnsi="Garamond"/>
          <w:i/>
          <w:color w:val="FF0000"/>
        </w:rPr>
        <w:t>(</w:t>
      </w:r>
      <w:r w:rsidRPr="006A69F7">
        <w:rPr>
          <w:rFonts w:ascii="Garamond" w:hAnsi="Garamond"/>
          <w:i/>
          <w:color w:val="FF0000"/>
        </w:rPr>
        <w:t>s</w:t>
      </w:r>
      <w:r w:rsidR="006A69F7" w:rsidRPr="006A69F7">
        <w:rPr>
          <w:rFonts w:ascii="Garamond" w:hAnsi="Garamond"/>
          <w:i/>
          <w:color w:val="FF0000"/>
        </w:rPr>
        <w:t>)</w:t>
      </w:r>
      <w:r w:rsidR="00A1010C">
        <w:rPr>
          <w:rFonts w:ascii="Garamond" w:hAnsi="Garamond"/>
          <w:i/>
          <w:color w:val="FF0000"/>
        </w:rPr>
        <w:t xml:space="preserve"> (or period[s])</w:t>
      </w:r>
      <w:r w:rsidR="00A1010C" w:rsidRPr="00A1010C">
        <w:rPr>
          <w:rStyle w:val="FootnoteReference"/>
          <w:b/>
        </w:rPr>
        <w:t xml:space="preserve"> </w:t>
      </w:r>
      <w:r w:rsidR="00A1010C" w:rsidRPr="00011832">
        <w:rPr>
          <w:rStyle w:val="FootnoteReference"/>
          <w:b/>
        </w:rPr>
        <w:footnoteReference w:id="3"/>
      </w:r>
      <w:r>
        <w:rPr>
          <w:rFonts w:ascii="Garamond" w:hAnsi="Garamond"/>
        </w:rPr>
        <w:t xml:space="preserve"> ended </w:t>
      </w:r>
      <w:r w:rsidR="008F3478">
        <w:rPr>
          <w:rFonts w:ascii="Garamond" w:hAnsi="Garamond"/>
          <w:i/>
          <w:color w:val="FF0000"/>
        </w:rPr>
        <w:t>(end of reporting period[s])</w:t>
      </w:r>
      <w:r>
        <w:rPr>
          <w:rFonts w:ascii="Garamond" w:hAnsi="Garamond"/>
        </w:rPr>
        <w:t>,</w:t>
      </w:r>
      <w:r w:rsidR="00A1010C" w:rsidRPr="00A1010C">
        <w:rPr>
          <w:rStyle w:val="FootnoteReference"/>
          <w:b/>
        </w:rPr>
        <w:t xml:space="preserve"> </w:t>
      </w:r>
      <w:r w:rsidR="00A1010C" w:rsidRPr="00011832">
        <w:rPr>
          <w:rStyle w:val="FootnoteReference"/>
          <w:b/>
        </w:rPr>
        <w:footnoteReference w:id="4"/>
      </w:r>
      <w:r>
        <w:rPr>
          <w:rFonts w:ascii="Garamond" w:hAnsi="Garamond"/>
        </w:rPr>
        <w:t xml:space="preserve"> </w:t>
      </w:r>
      <w:r w:rsidRPr="00C914DF">
        <w:rPr>
          <w:rFonts w:ascii="Garamond" w:hAnsi="Garamond"/>
        </w:rPr>
        <w:t xml:space="preserve">in accordance with </w:t>
      </w:r>
      <w:r w:rsidR="008F3478">
        <w:rPr>
          <w:rFonts w:ascii="Garamond" w:hAnsi="Garamond"/>
        </w:rPr>
        <w:t>the prescribed financial reporting framework indicated therein</w:t>
      </w:r>
      <w:r w:rsidRPr="00C914DF">
        <w:rPr>
          <w:rFonts w:ascii="Garamond" w:hAnsi="Garamond"/>
        </w:rPr>
        <w:t>,</w:t>
      </w:r>
      <w:r w:rsidRPr="00F26542">
        <w:rPr>
          <w:rFonts w:ascii="Garamond" w:hAnsi="Garamond"/>
        </w:rPr>
        <w:t xml:space="preserve"> </w:t>
      </w:r>
      <w:r w:rsidR="008F3478">
        <w:rPr>
          <w:rFonts w:ascii="Garamond" w:hAnsi="Garamond"/>
        </w:rPr>
        <w:t>and for such internal control as management determines is necessary to enable the preparation of financial statements that are free from material misstatement, whether due to fraud or error</w:t>
      </w:r>
      <w:r>
        <w:rPr>
          <w:rFonts w:ascii="Garamond" w:hAnsi="Garamond"/>
        </w:rPr>
        <w:t>.</w:t>
      </w:r>
    </w:p>
    <w:p w:rsidR="002D1CD9" w:rsidRPr="00726CAC" w:rsidRDefault="008F3478" w:rsidP="002D1CD9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In preparing the financial statements, management is responsible for assessing the </w:t>
      </w:r>
      <w:r w:rsidR="00A1010C" w:rsidRPr="00A1010C">
        <w:rPr>
          <w:rFonts w:ascii="Garamond" w:hAnsi="Garamond"/>
          <w:i/>
          <w:color w:val="FF0000"/>
        </w:rPr>
        <w:t>(the Company</w:t>
      </w:r>
      <w:r w:rsidR="00A1010C">
        <w:rPr>
          <w:rFonts w:ascii="Garamond" w:hAnsi="Garamond"/>
          <w:i/>
          <w:color w:val="FF0000"/>
        </w:rPr>
        <w:t xml:space="preserve"> or the Branch or the Group in case of consolidated financial statements, etc.</w:t>
      </w:r>
      <w:r w:rsidR="00A1010C" w:rsidRPr="00A1010C">
        <w:rPr>
          <w:rFonts w:ascii="Garamond" w:hAnsi="Garamond"/>
          <w:i/>
          <w:color w:val="FF0000"/>
        </w:rPr>
        <w:t>)</w:t>
      </w:r>
      <w:r>
        <w:rPr>
          <w:rFonts w:ascii="Garamond" w:hAnsi="Garamond"/>
        </w:rPr>
        <w:t xml:space="preserve">’s ability to continue as a going concern, disclosing, as applicable, matters related to going concern and using the going concern basis of accounting unless management either intends to liquidate the </w:t>
      </w:r>
      <w:r w:rsidR="00A1010C" w:rsidRPr="00A1010C">
        <w:rPr>
          <w:rFonts w:ascii="Garamond" w:hAnsi="Garamond"/>
          <w:i/>
          <w:color w:val="FF0000"/>
        </w:rPr>
        <w:t>(the Company</w:t>
      </w:r>
      <w:r w:rsidR="00A1010C">
        <w:rPr>
          <w:rFonts w:ascii="Garamond" w:hAnsi="Garamond"/>
          <w:i/>
          <w:color w:val="FF0000"/>
        </w:rPr>
        <w:t xml:space="preserve"> or the Branch or the Group in case of consolidated financial statements, etc.</w:t>
      </w:r>
      <w:r w:rsidR="00A1010C" w:rsidRPr="00A1010C">
        <w:rPr>
          <w:rFonts w:ascii="Garamond" w:hAnsi="Garamond"/>
          <w:i/>
          <w:color w:val="FF0000"/>
        </w:rPr>
        <w:t>)</w:t>
      </w:r>
      <w:r w:rsidR="00A1010C" w:rsidRPr="00A1010C">
        <w:rPr>
          <w:rStyle w:val="FootnoteReference"/>
          <w:b/>
        </w:rPr>
        <w:t xml:space="preserve"> </w:t>
      </w:r>
      <w:r>
        <w:rPr>
          <w:rFonts w:ascii="Garamond" w:hAnsi="Garamond"/>
        </w:rPr>
        <w:t xml:space="preserve"> or to cease operations, or has no realistic alternative to do so</w:t>
      </w:r>
      <w:r w:rsidR="002D1CD9" w:rsidRPr="00726CAC">
        <w:rPr>
          <w:rFonts w:ascii="Garamond" w:hAnsi="Garamond"/>
        </w:rPr>
        <w:t>.</w:t>
      </w:r>
    </w:p>
    <w:p w:rsidR="008F3478" w:rsidRDefault="002D1CD9" w:rsidP="002D1CD9">
      <w:pPr>
        <w:autoSpaceDE w:val="0"/>
        <w:autoSpaceDN w:val="0"/>
        <w:adjustRightInd w:val="0"/>
        <w:rPr>
          <w:rFonts w:ascii="Garamond" w:hAnsi="Garamond"/>
        </w:rPr>
      </w:pPr>
      <w:r w:rsidRPr="00726CAC">
        <w:rPr>
          <w:rFonts w:ascii="Garamond" w:hAnsi="Garamond"/>
        </w:rPr>
        <w:t>The Board of Directors</w:t>
      </w:r>
      <w:r w:rsidR="008F3478">
        <w:rPr>
          <w:rFonts w:ascii="Garamond" w:hAnsi="Garamond"/>
        </w:rPr>
        <w:t xml:space="preserve"> </w:t>
      </w:r>
      <w:r w:rsidR="008F3478" w:rsidRPr="00A1010C">
        <w:rPr>
          <w:rFonts w:ascii="Garamond" w:hAnsi="Garamond"/>
          <w:i/>
          <w:color w:val="FF0000"/>
        </w:rPr>
        <w:t>(or Trustees)</w:t>
      </w:r>
      <w:r w:rsidRPr="00726CAC">
        <w:rPr>
          <w:rFonts w:ascii="Garamond" w:hAnsi="Garamond"/>
        </w:rPr>
        <w:t xml:space="preserve"> </w:t>
      </w:r>
      <w:r w:rsidR="008F3478">
        <w:rPr>
          <w:rFonts w:ascii="Garamond" w:hAnsi="Garamond"/>
        </w:rPr>
        <w:t xml:space="preserve">is responsible for overseeing the </w:t>
      </w:r>
      <w:r w:rsidR="00A1010C" w:rsidRPr="00A1010C">
        <w:rPr>
          <w:rFonts w:ascii="Garamond" w:hAnsi="Garamond"/>
          <w:i/>
          <w:color w:val="FF0000"/>
        </w:rPr>
        <w:t>(the Company</w:t>
      </w:r>
      <w:r w:rsidR="00A1010C">
        <w:rPr>
          <w:rFonts w:ascii="Garamond" w:hAnsi="Garamond"/>
          <w:i/>
          <w:color w:val="FF0000"/>
        </w:rPr>
        <w:t xml:space="preserve"> or the Branch or the Group in case of consolidated financial statements, etc.</w:t>
      </w:r>
      <w:r w:rsidR="00A1010C" w:rsidRPr="00A1010C">
        <w:rPr>
          <w:rFonts w:ascii="Garamond" w:hAnsi="Garamond"/>
          <w:i/>
          <w:color w:val="FF0000"/>
        </w:rPr>
        <w:t>)</w:t>
      </w:r>
      <w:r w:rsidR="008F3478">
        <w:rPr>
          <w:rFonts w:ascii="Garamond" w:hAnsi="Garamond"/>
        </w:rPr>
        <w:t xml:space="preserve">’s financial reporting process. </w:t>
      </w:r>
    </w:p>
    <w:p w:rsidR="002D1CD9" w:rsidRPr="00726CAC" w:rsidRDefault="008F3478" w:rsidP="002D1CD9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The Board of Directors </w:t>
      </w:r>
      <w:r w:rsidR="00A1010C" w:rsidRPr="00A1010C">
        <w:rPr>
          <w:rFonts w:ascii="Garamond" w:hAnsi="Garamond"/>
          <w:i/>
          <w:color w:val="FF0000"/>
        </w:rPr>
        <w:t>(or Trustees)</w:t>
      </w:r>
      <w:r>
        <w:rPr>
          <w:rFonts w:ascii="Garamond" w:hAnsi="Garamond"/>
        </w:rPr>
        <w:t xml:space="preserve"> </w:t>
      </w:r>
      <w:r w:rsidR="002D1CD9" w:rsidRPr="00726CAC">
        <w:rPr>
          <w:rFonts w:ascii="Garamond" w:hAnsi="Garamond"/>
        </w:rPr>
        <w:t>reviews and approves the financial statements,</w:t>
      </w:r>
      <w:r>
        <w:rPr>
          <w:rFonts w:ascii="Garamond" w:hAnsi="Garamond"/>
        </w:rPr>
        <w:t xml:space="preserve"> including the schedules attached therein,</w:t>
      </w:r>
      <w:r w:rsidR="002D1CD9" w:rsidRPr="00726CAC">
        <w:rPr>
          <w:rFonts w:ascii="Garamond" w:hAnsi="Garamond"/>
        </w:rPr>
        <w:t xml:space="preserve"> and submits the same to the stockholders</w:t>
      </w:r>
      <w:r>
        <w:rPr>
          <w:rFonts w:ascii="Garamond" w:hAnsi="Garamond"/>
        </w:rPr>
        <w:t xml:space="preserve"> </w:t>
      </w:r>
      <w:r w:rsidRPr="00A1010C">
        <w:rPr>
          <w:rFonts w:ascii="Garamond" w:hAnsi="Garamond"/>
          <w:i/>
          <w:color w:val="FF0000"/>
        </w:rPr>
        <w:t>(or members)</w:t>
      </w:r>
      <w:r w:rsidR="002D1CD9" w:rsidRPr="00726CAC">
        <w:rPr>
          <w:rFonts w:ascii="Garamond" w:hAnsi="Garamond"/>
        </w:rPr>
        <w:t>.</w:t>
      </w:r>
    </w:p>
    <w:p w:rsidR="002D1CD9" w:rsidRPr="00C914DF" w:rsidRDefault="008F3478" w:rsidP="002D1CD9">
      <w:pPr>
        <w:autoSpaceDE w:val="0"/>
        <w:autoSpaceDN w:val="0"/>
        <w:adjustRightInd w:val="0"/>
        <w:rPr>
          <w:rFonts w:ascii="Garamond" w:hAnsi="Garamond"/>
        </w:rPr>
      </w:pPr>
      <w:r w:rsidRPr="008F3478">
        <w:rPr>
          <w:rFonts w:ascii="Garamond" w:hAnsi="Garamond"/>
          <w:i/>
          <w:color w:val="FF0000"/>
        </w:rPr>
        <w:t>(Name of auditing firm or auditor</w:t>
      </w:r>
      <w:r>
        <w:rPr>
          <w:rFonts w:ascii="Garamond" w:hAnsi="Garamond"/>
          <w:i/>
          <w:color w:val="FF0000"/>
        </w:rPr>
        <w:t xml:space="preserve"> in case of single practitioner</w:t>
      </w:r>
      <w:r w:rsidRPr="008F3478">
        <w:rPr>
          <w:rFonts w:ascii="Garamond" w:hAnsi="Garamond"/>
          <w:i/>
          <w:color w:val="FF0000"/>
        </w:rPr>
        <w:t>)</w:t>
      </w:r>
      <w:r w:rsidR="002D1CD9" w:rsidRPr="00726CAC">
        <w:rPr>
          <w:rFonts w:ascii="Garamond" w:hAnsi="Garamond"/>
        </w:rPr>
        <w:t>,</w:t>
      </w:r>
      <w:r w:rsidR="003A1289" w:rsidRPr="003A1289">
        <w:rPr>
          <w:rStyle w:val="FootnoteReference"/>
          <w:b/>
        </w:rPr>
        <w:t xml:space="preserve"> </w:t>
      </w:r>
      <w:r w:rsidR="003A1289" w:rsidRPr="00011832">
        <w:rPr>
          <w:rStyle w:val="FootnoteReference"/>
          <w:b/>
        </w:rPr>
        <w:footnoteReference w:id="5"/>
      </w:r>
      <w:r w:rsidR="002D1CD9" w:rsidRPr="00726CAC">
        <w:rPr>
          <w:rFonts w:ascii="Garamond" w:hAnsi="Garamond"/>
        </w:rPr>
        <w:t xml:space="preserve"> the independent auditors</w:t>
      </w:r>
      <w:r>
        <w:rPr>
          <w:rFonts w:ascii="Garamond" w:hAnsi="Garamond"/>
        </w:rPr>
        <w:t xml:space="preserve"> </w:t>
      </w:r>
      <w:r w:rsidRPr="00A1010C">
        <w:rPr>
          <w:rFonts w:ascii="Garamond" w:hAnsi="Garamond"/>
          <w:i/>
          <w:color w:val="FF0000"/>
        </w:rPr>
        <w:t>(or auditor)</w:t>
      </w:r>
      <w:r w:rsidR="002D1CD9" w:rsidRPr="00A1010C">
        <w:rPr>
          <w:rFonts w:ascii="Garamond" w:hAnsi="Garamond"/>
          <w:color w:val="FF0000"/>
        </w:rPr>
        <w:t xml:space="preserve"> </w:t>
      </w:r>
      <w:r w:rsidR="002D1CD9" w:rsidRPr="00726CAC">
        <w:rPr>
          <w:rFonts w:ascii="Garamond" w:hAnsi="Garamond"/>
        </w:rPr>
        <w:t>appointed by the stockholders</w:t>
      </w:r>
      <w:r w:rsidR="00A1010C">
        <w:rPr>
          <w:rFonts w:ascii="Garamond" w:hAnsi="Garamond"/>
        </w:rPr>
        <w:t xml:space="preserve"> </w:t>
      </w:r>
      <w:r w:rsidR="00A1010C" w:rsidRPr="00A1010C">
        <w:rPr>
          <w:rFonts w:ascii="Garamond" w:hAnsi="Garamond"/>
          <w:i/>
          <w:color w:val="FF0000"/>
        </w:rPr>
        <w:t>(or members)</w:t>
      </w:r>
      <w:r w:rsidR="002D1CD9" w:rsidRPr="00726CAC">
        <w:rPr>
          <w:rFonts w:ascii="Garamond" w:hAnsi="Garamond"/>
        </w:rPr>
        <w:t xml:space="preserve">, has </w:t>
      </w:r>
      <w:r>
        <w:rPr>
          <w:rFonts w:ascii="Garamond" w:hAnsi="Garamond"/>
        </w:rPr>
        <w:t>audited</w:t>
      </w:r>
      <w:r w:rsidR="002D1CD9" w:rsidRPr="00726CAC">
        <w:rPr>
          <w:rFonts w:ascii="Garamond" w:hAnsi="Garamond"/>
        </w:rPr>
        <w:t xml:space="preserve"> the financial statements of the </w:t>
      </w:r>
      <w:r w:rsidR="00A1010C" w:rsidRPr="00A1010C">
        <w:rPr>
          <w:rFonts w:ascii="Garamond" w:hAnsi="Garamond"/>
          <w:i/>
          <w:color w:val="FF0000"/>
        </w:rPr>
        <w:t>(the Company</w:t>
      </w:r>
      <w:r w:rsidR="00A1010C">
        <w:rPr>
          <w:rFonts w:ascii="Garamond" w:hAnsi="Garamond"/>
          <w:i/>
          <w:color w:val="FF0000"/>
        </w:rPr>
        <w:t xml:space="preserve"> or the Branch or the Group in case of consolidated financial statements, etc.</w:t>
      </w:r>
      <w:r w:rsidR="00A1010C" w:rsidRPr="00A1010C">
        <w:rPr>
          <w:rFonts w:ascii="Garamond" w:hAnsi="Garamond"/>
          <w:i/>
          <w:color w:val="FF0000"/>
        </w:rPr>
        <w:t>)</w:t>
      </w:r>
      <w:r w:rsidR="002D1CD9" w:rsidRPr="00726CAC">
        <w:rPr>
          <w:rFonts w:ascii="Garamond" w:hAnsi="Garamond"/>
        </w:rPr>
        <w:t xml:space="preserve"> in accordance with Philippine Standards on Auditing</w:t>
      </w:r>
      <w:r w:rsidR="002D1CD9">
        <w:rPr>
          <w:rFonts w:ascii="Garamond" w:hAnsi="Garamond"/>
        </w:rPr>
        <w:t>,</w:t>
      </w:r>
      <w:r w:rsidR="00A1010C">
        <w:rPr>
          <w:rFonts w:ascii="Garamond" w:hAnsi="Garamond"/>
        </w:rPr>
        <w:t xml:space="preserve"> and in their</w:t>
      </w:r>
      <w:r w:rsidR="002D1CD9" w:rsidRPr="00726CAC">
        <w:rPr>
          <w:rFonts w:ascii="Garamond" w:hAnsi="Garamond"/>
        </w:rPr>
        <w:t xml:space="preserve"> </w:t>
      </w:r>
      <w:r w:rsidR="00A1010C" w:rsidRPr="00A1010C">
        <w:rPr>
          <w:rFonts w:ascii="Garamond" w:hAnsi="Garamond"/>
          <w:i/>
          <w:color w:val="FF0000"/>
        </w:rPr>
        <w:t>(or his/her)</w:t>
      </w:r>
      <w:r w:rsidR="00A1010C">
        <w:rPr>
          <w:rFonts w:ascii="Garamond" w:hAnsi="Garamond"/>
          <w:i/>
          <w:color w:val="FF0000"/>
        </w:rPr>
        <w:t xml:space="preserve"> </w:t>
      </w:r>
      <w:r w:rsidR="002D1CD9" w:rsidRPr="00726CAC">
        <w:rPr>
          <w:rFonts w:ascii="Garamond" w:hAnsi="Garamond"/>
        </w:rPr>
        <w:t>report to the stockholders</w:t>
      </w:r>
      <w:r>
        <w:rPr>
          <w:rFonts w:ascii="Garamond" w:hAnsi="Garamond"/>
        </w:rPr>
        <w:t xml:space="preserve"> </w:t>
      </w:r>
      <w:r w:rsidRPr="00A1010C">
        <w:rPr>
          <w:rFonts w:ascii="Garamond" w:hAnsi="Garamond"/>
          <w:i/>
          <w:color w:val="FF0000"/>
        </w:rPr>
        <w:t>(or members)</w:t>
      </w:r>
      <w:r w:rsidR="002D1CD9" w:rsidRPr="00726CAC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have </w:t>
      </w:r>
      <w:r w:rsidRPr="00A1010C">
        <w:rPr>
          <w:rFonts w:ascii="Garamond" w:hAnsi="Garamond"/>
          <w:i/>
          <w:color w:val="FF0000"/>
        </w:rPr>
        <w:t>(</w:t>
      </w:r>
      <w:r w:rsidR="002D1CD9" w:rsidRPr="00A1010C">
        <w:rPr>
          <w:rFonts w:ascii="Garamond" w:hAnsi="Garamond"/>
          <w:i/>
          <w:color w:val="FF0000"/>
        </w:rPr>
        <w:t>has</w:t>
      </w:r>
      <w:r w:rsidRPr="00A1010C">
        <w:rPr>
          <w:rFonts w:ascii="Garamond" w:hAnsi="Garamond"/>
          <w:i/>
          <w:color w:val="FF0000"/>
        </w:rPr>
        <w:t>)</w:t>
      </w:r>
      <w:r>
        <w:rPr>
          <w:rFonts w:ascii="Garamond" w:hAnsi="Garamond"/>
        </w:rPr>
        <w:t xml:space="preserve"> expressed their </w:t>
      </w:r>
      <w:r w:rsidRPr="00A1010C">
        <w:rPr>
          <w:rFonts w:ascii="Garamond" w:hAnsi="Garamond"/>
          <w:i/>
          <w:color w:val="FF0000"/>
        </w:rPr>
        <w:t>(or his/her)</w:t>
      </w:r>
      <w:r w:rsidR="002D1CD9" w:rsidRPr="00726CAC">
        <w:rPr>
          <w:rFonts w:ascii="Garamond" w:hAnsi="Garamond"/>
        </w:rPr>
        <w:t xml:space="preserve"> opinion on the</w:t>
      </w:r>
      <w:r w:rsidR="002D1CD9" w:rsidRPr="00C914DF">
        <w:rPr>
          <w:rFonts w:ascii="Garamond" w:hAnsi="Garamond"/>
        </w:rPr>
        <w:t xml:space="preserve"> fairness of presentation upon completion of such </w:t>
      </w:r>
      <w:r w:rsidR="00611963">
        <w:rPr>
          <w:rFonts w:ascii="Garamond" w:hAnsi="Garamond"/>
        </w:rPr>
        <w:t>audit</w:t>
      </w:r>
      <w:r w:rsidR="002D1CD9" w:rsidRPr="00C914DF">
        <w:rPr>
          <w:rFonts w:ascii="Garamond" w:hAnsi="Garamond"/>
        </w:rPr>
        <w:t>.</w:t>
      </w:r>
    </w:p>
    <w:p w:rsidR="002D1CD9" w:rsidRPr="003A1289" w:rsidRDefault="002D1CD9" w:rsidP="00087AE0">
      <w:pPr>
        <w:autoSpaceDE w:val="0"/>
        <w:autoSpaceDN w:val="0"/>
        <w:adjustRightInd w:val="0"/>
        <w:spacing w:after="0"/>
        <w:rPr>
          <w:rFonts w:ascii="Garamond" w:hAnsi="Garamond"/>
        </w:rPr>
      </w:pPr>
    </w:p>
    <w:p w:rsidR="002D1CD9" w:rsidRDefault="002D1CD9" w:rsidP="00087AE0">
      <w:pPr>
        <w:tabs>
          <w:tab w:val="left" w:pos="1080"/>
          <w:tab w:val="left" w:pos="1260"/>
          <w:tab w:val="right" w:pos="3240"/>
        </w:tabs>
        <w:autoSpaceDE w:val="0"/>
        <w:autoSpaceDN w:val="0"/>
        <w:adjustRightInd w:val="0"/>
        <w:spacing w:after="0"/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2D1CD9" w:rsidRPr="00087AE0" w:rsidRDefault="00087AE0" w:rsidP="002D1CD9">
      <w:pPr>
        <w:tabs>
          <w:tab w:val="left" w:pos="1080"/>
          <w:tab w:val="left" w:pos="1260"/>
        </w:tabs>
        <w:spacing w:after="0"/>
        <w:rPr>
          <w:rFonts w:ascii="Garamond" w:hAnsi="Garamond"/>
          <w:i/>
        </w:rPr>
      </w:pPr>
      <w:r>
        <w:rPr>
          <w:rFonts w:ascii="Garamond" w:hAnsi="Garamond"/>
          <w:i/>
          <w:color w:val="FF0000"/>
        </w:rPr>
        <w:t>(</w:t>
      </w:r>
      <w:r w:rsidR="002D1CD9" w:rsidRPr="00087AE0">
        <w:rPr>
          <w:rFonts w:ascii="Garamond" w:hAnsi="Garamond"/>
          <w:i/>
          <w:color w:val="FF0000"/>
        </w:rPr>
        <w:t>Name in Print</w:t>
      </w:r>
      <w:r>
        <w:rPr>
          <w:rFonts w:ascii="Garamond" w:hAnsi="Garamond"/>
          <w:i/>
          <w:color w:val="FF0000"/>
        </w:rPr>
        <w:t>)</w:t>
      </w:r>
    </w:p>
    <w:p w:rsidR="002D1CD9" w:rsidRPr="000B6FAF" w:rsidRDefault="002D1CD9" w:rsidP="002D1CD9">
      <w:pPr>
        <w:tabs>
          <w:tab w:val="left" w:pos="1080"/>
          <w:tab w:val="left" w:pos="1260"/>
        </w:tabs>
        <w:spacing w:after="0"/>
        <w:rPr>
          <w:rFonts w:ascii="Garamond" w:hAnsi="Garamond"/>
        </w:rPr>
      </w:pPr>
      <w:r w:rsidRPr="000B6FAF">
        <w:rPr>
          <w:rFonts w:ascii="Garamond" w:hAnsi="Garamond"/>
        </w:rPr>
        <w:t>Chairman of the Board</w:t>
      </w:r>
      <w:r w:rsidR="00611963">
        <w:rPr>
          <w:rFonts w:ascii="Garamond" w:hAnsi="Garamond"/>
        </w:rPr>
        <w:t xml:space="preserve"> </w:t>
      </w:r>
      <w:r w:rsidR="00611963" w:rsidRPr="00087AE0">
        <w:rPr>
          <w:rFonts w:ascii="Garamond" w:hAnsi="Garamond"/>
          <w:i/>
          <w:color w:val="FF0000"/>
        </w:rPr>
        <w:t>(or equivalent)</w:t>
      </w:r>
      <w:r w:rsidR="003A1289" w:rsidRPr="003A1289">
        <w:rPr>
          <w:rStyle w:val="FootnoteReference"/>
          <w:b/>
        </w:rPr>
        <w:t xml:space="preserve"> </w:t>
      </w:r>
      <w:r w:rsidR="003A1289" w:rsidRPr="00011832">
        <w:rPr>
          <w:rStyle w:val="FootnoteReference"/>
          <w:b/>
        </w:rPr>
        <w:footnoteReference w:id="6"/>
      </w:r>
    </w:p>
    <w:p w:rsidR="002D1CD9" w:rsidRPr="003A1289" w:rsidRDefault="002D1CD9" w:rsidP="00087AE0">
      <w:pPr>
        <w:autoSpaceDE w:val="0"/>
        <w:autoSpaceDN w:val="0"/>
        <w:adjustRightInd w:val="0"/>
        <w:spacing w:after="0"/>
        <w:rPr>
          <w:rFonts w:ascii="Garamond" w:hAnsi="Garamond"/>
        </w:rPr>
      </w:pPr>
    </w:p>
    <w:p w:rsidR="002D1CD9" w:rsidRDefault="002D1CD9" w:rsidP="00087AE0">
      <w:pPr>
        <w:tabs>
          <w:tab w:val="left" w:pos="1080"/>
          <w:tab w:val="left" w:pos="1260"/>
          <w:tab w:val="right" w:pos="3249"/>
        </w:tabs>
        <w:autoSpaceDE w:val="0"/>
        <w:autoSpaceDN w:val="0"/>
        <w:adjustRightInd w:val="0"/>
        <w:spacing w:after="0"/>
        <w:rPr>
          <w:rFonts w:ascii="Garamond" w:hAnsi="Garamond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3D771F">
        <w:rPr>
          <w:rFonts w:ascii="Garamond" w:hAnsi="Garamond"/>
          <w:u w:val="single"/>
        </w:rPr>
        <w:tab/>
      </w:r>
    </w:p>
    <w:p w:rsidR="002D1CD9" w:rsidRPr="000B6FAF" w:rsidRDefault="00087AE0" w:rsidP="002D1CD9">
      <w:pPr>
        <w:tabs>
          <w:tab w:val="left" w:pos="1080"/>
          <w:tab w:val="left" w:pos="1260"/>
        </w:tabs>
        <w:spacing w:after="0"/>
        <w:rPr>
          <w:rFonts w:ascii="Garamond" w:hAnsi="Garamond"/>
        </w:rPr>
      </w:pPr>
      <w:r>
        <w:rPr>
          <w:rFonts w:ascii="Garamond" w:hAnsi="Garamond"/>
          <w:i/>
          <w:color w:val="FF0000"/>
        </w:rPr>
        <w:t>(</w:t>
      </w:r>
      <w:r w:rsidRPr="00087AE0">
        <w:rPr>
          <w:rFonts w:ascii="Garamond" w:hAnsi="Garamond"/>
          <w:i/>
          <w:color w:val="FF0000"/>
        </w:rPr>
        <w:t>Name in Print</w:t>
      </w:r>
      <w:r>
        <w:rPr>
          <w:rFonts w:ascii="Garamond" w:hAnsi="Garamond"/>
          <w:i/>
          <w:color w:val="FF0000"/>
        </w:rPr>
        <w:t>)</w:t>
      </w:r>
    </w:p>
    <w:p w:rsidR="002D1CD9" w:rsidRPr="000B6FAF" w:rsidRDefault="002D1CD9" w:rsidP="002D1CD9">
      <w:pPr>
        <w:tabs>
          <w:tab w:val="left" w:pos="1080"/>
          <w:tab w:val="left" w:pos="1260"/>
        </w:tabs>
        <w:spacing w:after="0"/>
        <w:rPr>
          <w:rFonts w:ascii="Garamond" w:hAnsi="Garamond"/>
        </w:rPr>
      </w:pPr>
      <w:r w:rsidRPr="000B6FAF">
        <w:rPr>
          <w:rFonts w:ascii="Garamond" w:hAnsi="Garamond"/>
        </w:rPr>
        <w:t>Chief Executive Officer</w:t>
      </w:r>
      <w:r w:rsidR="00611963">
        <w:rPr>
          <w:rFonts w:ascii="Garamond" w:hAnsi="Garamond"/>
        </w:rPr>
        <w:t xml:space="preserve"> </w:t>
      </w:r>
      <w:r w:rsidR="00611963" w:rsidRPr="00087AE0">
        <w:rPr>
          <w:rFonts w:ascii="Garamond" w:hAnsi="Garamond"/>
          <w:i/>
          <w:color w:val="FF0000"/>
        </w:rPr>
        <w:t>(or equivalent)</w:t>
      </w:r>
    </w:p>
    <w:p w:rsidR="002D1CD9" w:rsidRPr="003A1289" w:rsidRDefault="002D1CD9" w:rsidP="00087AE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/>
        <w:rPr>
          <w:rFonts w:ascii="Garamond" w:hAnsi="Garamond"/>
        </w:rPr>
      </w:pPr>
    </w:p>
    <w:p w:rsidR="002D1CD9" w:rsidRDefault="002D1CD9" w:rsidP="00087AE0">
      <w:pPr>
        <w:tabs>
          <w:tab w:val="left" w:pos="1080"/>
          <w:tab w:val="left" w:pos="1260"/>
          <w:tab w:val="right" w:pos="3267"/>
        </w:tabs>
        <w:autoSpaceDE w:val="0"/>
        <w:autoSpaceDN w:val="0"/>
        <w:adjustRightInd w:val="0"/>
        <w:spacing w:after="0"/>
        <w:rPr>
          <w:rFonts w:ascii="Garamond" w:hAnsi="Garamond"/>
        </w:rPr>
      </w:pPr>
      <w:r w:rsidRPr="003D771F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2D1CD9" w:rsidRPr="000B6FAF" w:rsidRDefault="00087AE0" w:rsidP="002D1CD9">
      <w:pPr>
        <w:tabs>
          <w:tab w:val="left" w:pos="1080"/>
          <w:tab w:val="left" w:pos="1260"/>
        </w:tabs>
        <w:spacing w:after="0"/>
        <w:rPr>
          <w:rFonts w:ascii="Garamond" w:hAnsi="Garamond"/>
        </w:rPr>
      </w:pPr>
      <w:r>
        <w:rPr>
          <w:rFonts w:ascii="Garamond" w:hAnsi="Garamond"/>
          <w:i/>
          <w:color w:val="FF0000"/>
        </w:rPr>
        <w:t>(</w:t>
      </w:r>
      <w:r w:rsidRPr="00087AE0">
        <w:rPr>
          <w:rFonts w:ascii="Garamond" w:hAnsi="Garamond"/>
          <w:i/>
          <w:color w:val="FF0000"/>
        </w:rPr>
        <w:t>Name in Print</w:t>
      </w:r>
      <w:r>
        <w:rPr>
          <w:rFonts w:ascii="Garamond" w:hAnsi="Garamond"/>
          <w:i/>
          <w:color w:val="FF0000"/>
        </w:rPr>
        <w:t>)</w:t>
      </w:r>
    </w:p>
    <w:p w:rsidR="002D1CD9" w:rsidRPr="000B6FAF" w:rsidRDefault="002D1CD9" w:rsidP="002D1CD9">
      <w:pPr>
        <w:tabs>
          <w:tab w:val="left" w:pos="1080"/>
          <w:tab w:val="left" w:pos="1260"/>
        </w:tabs>
        <w:spacing w:after="0"/>
        <w:rPr>
          <w:rFonts w:ascii="Garamond" w:hAnsi="Garamond"/>
        </w:rPr>
      </w:pPr>
      <w:r w:rsidRPr="000B6FAF">
        <w:rPr>
          <w:rFonts w:ascii="Garamond" w:hAnsi="Garamond"/>
        </w:rPr>
        <w:t>Chief Financial Officer</w:t>
      </w:r>
      <w:r w:rsidR="00611963">
        <w:rPr>
          <w:rFonts w:ascii="Garamond" w:hAnsi="Garamond"/>
        </w:rPr>
        <w:t xml:space="preserve"> </w:t>
      </w:r>
      <w:r w:rsidR="00611963" w:rsidRPr="00087AE0">
        <w:rPr>
          <w:rFonts w:ascii="Garamond" w:hAnsi="Garamond"/>
          <w:i/>
          <w:color w:val="FF0000"/>
        </w:rPr>
        <w:t>(or equivalent)</w:t>
      </w:r>
    </w:p>
    <w:p w:rsidR="00087AE0" w:rsidRPr="003A1289" w:rsidRDefault="00087AE0" w:rsidP="00087AE0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/>
        <w:rPr>
          <w:rFonts w:ascii="Garamond" w:hAnsi="Garamond"/>
          <w:sz w:val="18"/>
          <w:szCs w:val="18"/>
        </w:rPr>
      </w:pPr>
    </w:p>
    <w:p w:rsidR="002D1CD9" w:rsidRPr="00A8008D" w:rsidRDefault="002D1CD9" w:rsidP="002D1CD9">
      <w:pPr>
        <w:tabs>
          <w:tab w:val="left" w:pos="1080"/>
          <w:tab w:val="left" w:pos="1260"/>
        </w:tabs>
        <w:rPr>
          <w:rFonts w:ascii="Garamond" w:hAnsi="Garamond"/>
        </w:rPr>
      </w:pPr>
      <w:r w:rsidRPr="00A8008D">
        <w:rPr>
          <w:rFonts w:ascii="Garamond" w:hAnsi="Garamond"/>
        </w:rPr>
        <w:t>Signed this _____ day of __________</w:t>
      </w:r>
    </w:p>
    <w:sectPr w:rsidR="002D1CD9" w:rsidRPr="00A8008D" w:rsidSect="00087AE0">
      <w:headerReference w:type="default" r:id="rId8"/>
      <w:headerReference w:type="first" r:id="rId9"/>
      <w:pgSz w:w="12240" w:h="15840" w:code="1"/>
      <w:pgMar w:top="900" w:right="864" w:bottom="540" w:left="1440" w:header="720" w:footer="288" w:gutter="2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F7" w:rsidRDefault="007139F7" w:rsidP="00BF353F">
      <w:pPr>
        <w:spacing w:after="0" w:line="240" w:lineRule="auto"/>
      </w:pPr>
      <w:r>
        <w:separator/>
      </w:r>
    </w:p>
  </w:endnote>
  <w:endnote w:type="continuationSeparator" w:id="0">
    <w:p w:rsidR="007139F7" w:rsidRDefault="007139F7" w:rsidP="00BF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F7" w:rsidRDefault="007139F7" w:rsidP="00BF353F">
      <w:pPr>
        <w:spacing w:after="0" w:line="240" w:lineRule="auto"/>
      </w:pPr>
      <w:r>
        <w:separator/>
      </w:r>
    </w:p>
  </w:footnote>
  <w:footnote w:type="continuationSeparator" w:id="0">
    <w:p w:rsidR="007139F7" w:rsidRDefault="007139F7" w:rsidP="00BF353F">
      <w:pPr>
        <w:spacing w:after="0" w:line="240" w:lineRule="auto"/>
      </w:pPr>
      <w:r>
        <w:continuationSeparator/>
      </w:r>
    </w:p>
  </w:footnote>
  <w:footnote w:id="1">
    <w:p w:rsidR="003A1289" w:rsidRPr="003A1289" w:rsidRDefault="003A1289" w:rsidP="003A1289">
      <w:pPr>
        <w:pStyle w:val="FootnoteText"/>
        <w:ind w:left="90" w:hanging="90"/>
        <w:rPr>
          <w:sz w:val="18"/>
          <w:szCs w:val="18"/>
        </w:rPr>
      </w:pPr>
      <w:r w:rsidRPr="003A1289">
        <w:rPr>
          <w:rStyle w:val="FootnoteReference"/>
          <w:rFonts w:ascii="Garamond" w:hAnsi="Garamond"/>
          <w:b/>
          <w:color w:val="0000FF"/>
          <w:sz w:val="18"/>
          <w:szCs w:val="18"/>
        </w:rPr>
        <w:footnoteRef/>
      </w:r>
      <w:r w:rsidRPr="003A1289">
        <w:rPr>
          <w:sz w:val="18"/>
          <w:szCs w:val="18"/>
        </w:rPr>
        <w:t xml:space="preserve"> </w:t>
      </w:r>
      <w:r w:rsidRPr="003A1289">
        <w:rPr>
          <w:rFonts w:ascii="Garamond" w:hAnsi="Garamond"/>
          <w:sz w:val="18"/>
          <w:szCs w:val="18"/>
        </w:rPr>
        <w:t xml:space="preserve">SMR of a public company is required to be notarized.  </w:t>
      </w:r>
    </w:p>
  </w:footnote>
  <w:footnote w:id="2">
    <w:p w:rsidR="00A1010C" w:rsidRPr="003A1289" w:rsidRDefault="00A1010C" w:rsidP="003A1289">
      <w:pPr>
        <w:pStyle w:val="FootnoteText"/>
        <w:ind w:left="90" w:hanging="90"/>
        <w:rPr>
          <w:sz w:val="18"/>
          <w:szCs w:val="18"/>
        </w:rPr>
      </w:pPr>
      <w:r w:rsidRPr="003A1289">
        <w:rPr>
          <w:rStyle w:val="FootnoteReference"/>
          <w:rFonts w:ascii="Garamond" w:hAnsi="Garamond"/>
          <w:b/>
          <w:color w:val="0000FF"/>
          <w:sz w:val="18"/>
          <w:szCs w:val="18"/>
        </w:rPr>
        <w:footnoteRef/>
      </w:r>
      <w:r w:rsidRPr="003A1289">
        <w:rPr>
          <w:sz w:val="18"/>
          <w:szCs w:val="18"/>
        </w:rPr>
        <w:t xml:space="preserve"> </w:t>
      </w:r>
      <w:r w:rsidRPr="003A1289">
        <w:rPr>
          <w:rFonts w:ascii="Garamond" w:hAnsi="Garamond"/>
          <w:sz w:val="18"/>
          <w:szCs w:val="18"/>
        </w:rPr>
        <w:t xml:space="preserve">Use short name consistent with the short name used in the financial statements.  </w:t>
      </w:r>
    </w:p>
  </w:footnote>
  <w:footnote w:id="3">
    <w:p w:rsidR="00A1010C" w:rsidRPr="003A1289" w:rsidRDefault="00A1010C" w:rsidP="003A1289">
      <w:pPr>
        <w:pStyle w:val="FootnoteText"/>
        <w:ind w:left="90" w:hanging="90"/>
        <w:rPr>
          <w:sz w:val="18"/>
          <w:szCs w:val="18"/>
        </w:rPr>
      </w:pPr>
      <w:r w:rsidRPr="003A1289">
        <w:rPr>
          <w:rStyle w:val="FootnoteReference"/>
          <w:rFonts w:ascii="Garamond" w:hAnsi="Garamond"/>
          <w:b/>
          <w:color w:val="0000FF"/>
          <w:sz w:val="18"/>
          <w:szCs w:val="18"/>
        </w:rPr>
        <w:footnoteRef/>
      </w:r>
      <w:r w:rsidRPr="003A1289">
        <w:rPr>
          <w:sz w:val="18"/>
          <w:szCs w:val="18"/>
        </w:rPr>
        <w:t xml:space="preserve"> </w:t>
      </w:r>
      <w:r w:rsidRPr="003A1289">
        <w:rPr>
          <w:rFonts w:ascii="Garamond" w:hAnsi="Garamond"/>
          <w:sz w:val="18"/>
          <w:szCs w:val="18"/>
        </w:rPr>
        <w:t xml:space="preserve">Use “period” if either period presented is less than one year.  </w:t>
      </w:r>
    </w:p>
  </w:footnote>
  <w:footnote w:id="4">
    <w:p w:rsidR="00A1010C" w:rsidRPr="003A1289" w:rsidRDefault="00A1010C" w:rsidP="003A1289">
      <w:pPr>
        <w:pStyle w:val="FootnoteText"/>
        <w:ind w:left="90" w:hanging="90"/>
        <w:rPr>
          <w:sz w:val="18"/>
          <w:szCs w:val="18"/>
        </w:rPr>
      </w:pPr>
      <w:r w:rsidRPr="003A1289">
        <w:rPr>
          <w:rStyle w:val="FootnoteReference"/>
          <w:rFonts w:ascii="Garamond" w:hAnsi="Garamond"/>
          <w:b/>
          <w:color w:val="0000FF"/>
          <w:sz w:val="18"/>
          <w:szCs w:val="18"/>
        </w:rPr>
        <w:footnoteRef/>
      </w:r>
      <w:r w:rsidRPr="003A1289">
        <w:rPr>
          <w:sz w:val="18"/>
          <w:szCs w:val="18"/>
        </w:rPr>
        <w:t xml:space="preserve"> </w:t>
      </w:r>
      <w:r w:rsidRPr="003A1289">
        <w:rPr>
          <w:rFonts w:ascii="Garamond" w:hAnsi="Garamond"/>
          <w:sz w:val="18"/>
          <w:szCs w:val="18"/>
        </w:rPr>
        <w:t>Include comparative period(s).</w:t>
      </w:r>
    </w:p>
  </w:footnote>
  <w:footnote w:id="5">
    <w:p w:rsidR="003A1289" w:rsidRPr="003A1289" w:rsidRDefault="003A1289" w:rsidP="003A1289">
      <w:pPr>
        <w:pStyle w:val="FootnoteText"/>
        <w:ind w:left="90" w:hanging="90"/>
        <w:rPr>
          <w:sz w:val="18"/>
          <w:szCs w:val="18"/>
        </w:rPr>
      </w:pPr>
      <w:r w:rsidRPr="003A1289">
        <w:rPr>
          <w:rStyle w:val="FootnoteReference"/>
          <w:rFonts w:ascii="Garamond" w:hAnsi="Garamond"/>
          <w:b/>
          <w:color w:val="0000FF"/>
          <w:sz w:val="18"/>
          <w:szCs w:val="18"/>
        </w:rPr>
        <w:footnoteRef/>
      </w:r>
      <w:r w:rsidRPr="003A1289">
        <w:rPr>
          <w:sz w:val="18"/>
          <w:szCs w:val="18"/>
        </w:rPr>
        <w:t xml:space="preserve"> </w:t>
      </w:r>
      <w:r w:rsidRPr="003A1289">
        <w:rPr>
          <w:rFonts w:ascii="Garamond" w:hAnsi="Garamond"/>
          <w:sz w:val="18"/>
          <w:szCs w:val="18"/>
        </w:rPr>
        <w:t xml:space="preserve">Only the auditor(s) of the current period need(s) to be indicated (in cases where comparative financial statements were audited by another auditor).  </w:t>
      </w:r>
    </w:p>
  </w:footnote>
  <w:footnote w:id="6">
    <w:p w:rsidR="003A1289" w:rsidRPr="003A1289" w:rsidRDefault="003A1289" w:rsidP="003A1289">
      <w:pPr>
        <w:pStyle w:val="FootnoteText"/>
        <w:ind w:left="90" w:hanging="90"/>
        <w:rPr>
          <w:rFonts w:ascii="Garamond" w:hAnsi="Garamond"/>
          <w:sz w:val="18"/>
          <w:szCs w:val="18"/>
        </w:rPr>
      </w:pPr>
      <w:r w:rsidRPr="003A1289">
        <w:rPr>
          <w:rStyle w:val="FootnoteReference"/>
          <w:rFonts w:ascii="Garamond" w:hAnsi="Garamond"/>
          <w:b/>
          <w:color w:val="0000FF"/>
          <w:sz w:val="18"/>
          <w:szCs w:val="18"/>
        </w:rPr>
        <w:footnoteRef/>
      </w:r>
      <w:r w:rsidRPr="003A1289">
        <w:rPr>
          <w:sz w:val="18"/>
          <w:szCs w:val="18"/>
        </w:rPr>
        <w:t xml:space="preserve"> L</w:t>
      </w:r>
      <w:r w:rsidRPr="003A1289">
        <w:rPr>
          <w:rFonts w:ascii="Garamond" w:hAnsi="Garamond"/>
          <w:sz w:val="18"/>
          <w:szCs w:val="18"/>
        </w:rPr>
        <w:t>ocal managers that are authorized to sign (in the case of Philippine branches of foreign corporations).</w:t>
      </w:r>
    </w:p>
    <w:p w:rsidR="003A1289" w:rsidRDefault="003A1289" w:rsidP="003A128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A9" w:rsidRDefault="00087AE0">
    <w:pPr>
      <w:pStyle w:val="Header"/>
      <w:jc w:val="right"/>
    </w:pPr>
    <w:r w:rsidRPr="007A5935">
      <w:rPr>
        <w:rFonts w:ascii="Garamond" w:hAnsi="Garamond"/>
        <w:i/>
        <w:color w:val="FF0000"/>
      </w:rPr>
      <w:t>(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37" w:rsidRDefault="008E0F48" w:rsidP="0064020C">
    <w:pPr>
      <w:pStyle w:val="Header"/>
      <w:jc w:val="center"/>
    </w:pPr>
    <w:r>
      <w:rPr>
        <w:rFonts w:ascii="Garamond" w:hAnsi="Garamond"/>
        <w:i/>
        <w:color w:val="FF0000"/>
      </w:rPr>
      <w:t>(</w:t>
    </w:r>
    <w:r w:rsidR="00D26A37" w:rsidRPr="007A5935">
      <w:rPr>
        <w:rFonts w:ascii="Garamond" w:hAnsi="Garamond"/>
        <w:i/>
        <w:color w:val="FF0000"/>
      </w:rPr>
      <w:t xml:space="preserve">For printing on </w:t>
    </w:r>
    <w:r w:rsidR="0064020C">
      <w:rPr>
        <w:rFonts w:ascii="Garamond" w:hAnsi="Garamond"/>
        <w:i/>
        <w:color w:val="FF0000"/>
      </w:rPr>
      <w:t>reporting entity’</w:t>
    </w:r>
    <w:r w:rsidR="00D26A37" w:rsidRPr="007A5935">
      <w:rPr>
        <w:rFonts w:ascii="Garamond" w:hAnsi="Garamond"/>
        <w:i/>
        <w:color w:val="FF0000"/>
      </w:rPr>
      <w:t>s letterhead)</w:t>
    </w:r>
  </w:p>
  <w:p w:rsidR="00D26A37" w:rsidRPr="00D26A37" w:rsidRDefault="00D26A37" w:rsidP="00D26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8F2"/>
    <w:multiLevelType w:val="hybridMultilevel"/>
    <w:tmpl w:val="4782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ADB"/>
    <w:multiLevelType w:val="hybridMultilevel"/>
    <w:tmpl w:val="1CDEC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BF6"/>
    <w:multiLevelType w:val="hybridMultilevel"/>
    <w:tmpl w:val="EC4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7D85"/>
    <w:multiLevelType w:val="hybridMultilevel"/>
    <w:tmpl w:val="7004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1045"/>
    <w:multiLevelType w:val="hybridMultilevel"/>
    <w:tmpl w:val="967CC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6FED"/>
    <w:multiLevelType w:val="hybridMultilevel"/>
    <w:tmpl w:val="352C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5DC2"/>
    <w:multiLevelType w:val="hybridMultilevel"/>
    <w:tmpl w:val="3FA2A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C44E9"/>
    <w:multiLevelType w:val="hybridMultilevel"/>
    <w:tmpl w:val="C3A6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C37A6"/>
    <w:multiLevelType w:val="hybridMultilevel"/>
    <w:tmpl w:val="3F42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F7EBB"/>
    <w:multiLevelType w:val="hybridMultilevel"/>
    <w:tmpl w:val="3CEA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71C62"/>
    <w:multiLevelType w:val="hybridMultilevel"/>
    <w:tmpl w:val="BEB24C32"/>
    <w:lvl w:ilvl="0" w:tplc="885EEB4E">
      <w:start w:val="1"/>
      <w:numFmt w:val="decimal"/>
      <w:lvlText w:val="(%1)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B0641E2"/>
    <w:multiLevelType w:val="hybridMultilevel"/>
    <w:tmpl w:val="72C20EE4"/>
    <w:lvl w:ilvl="0" w:tplc="E15E646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B4F4062"/>
    <w:multiLevelType w:val="hybridMultilevel"/>
    <w:tmpl w:val="406A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935C3"/>
    <w:multiLevelType w:val="hybridMultilevel"/>
    <w:tmpl w:val="6812D7BA"/>
    <w:lvl w:ilvl="0" w:tplc="3CA62D26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4377B"/>
    <w:multiLevelType w:val="hybridMultilevel"/>
    <w:tmpl w:val="42D2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84096"/>
    <w:multiLevelType w:val="hybridMultilevel"/>
    <w:tmpl w:val="0742AD46"/>
    <w:lvl w:ilvl="0" w:tplc="E3AE1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5B8E"/>
    <w:multiLevelType w:val="hybridMultilevel"/>
    <w:tmpl w:val="403243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C1365"/>
    <w:multiLevelType w:val="hybridMultilevel"/>
    <w:tmpl w:val="837A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B3F9D"/>
    <w:multiLevelType w:val="hybridMultilevel"/>
    <w:tmpl w:val="3368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1739F"/>
    <w:multiLevelType w:val="hybridMultilevel"/>
    <w:tmpl w:val="DFD2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67CB4"/>
    <w:multiLevelType w:val="hybridMultilevel"/>
    <w:tmpl w:val="D5CA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C5DB1"/>
    <w:multiLevelType w:val="hybridMultilevel"/>
    <w:tmpl w:val="259C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2066F"/>
    <w:multiLevelType w:val="hybridMultilevel"/>
    <w:tmpl w:val="F07A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47706"/>
    <w:multiLevelType w:val="hybridMultilevel"/>
    <w:tmpl w:val="ECAABA7A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4" w15:restartNumberingAfterBreak="0">
    <w:nsid w:val="51171E1C"/>
    <w:multiLevelType w:val="hybridMultilevel"/>
    <w:tmpl w:val="8AFC77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6414A"/>
    <w:multiLevelType w:val="hybridMultilevel"/>
    <w:tmpl w:val="FC7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D6AC7"/>
    <w:multiLevelType w:val="hybridMultilevel"/>
    <w:tmpl w:val="4F025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620C1"/>
    <w:multiLevelType w:val="hybridMultilevel"/>
    <w:tmpl w:val="1478A25A"/>
    <w:lvl w:ilvl="0" w:tplc="4BDA3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D45B3"/>
    <w:multiLevelType w:val="hybridMultilevel"/>
    <w:tmpl w:val="42F0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A5B6C"/>
    <w:multiLevelType w:val="hybridMultilevel"/>
    <w:tmpl w:val="3490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B247C"/>
    <w:multiLevelType w:val="hybridMultilevel"/>
    <w:tmpl w:val="B82AA544"/>
    <w:lvl w:ilvl="0" w:tplc="E15E64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83998"/>
    <w:multiLevelType w:val="hybridMultilevel"/>
    <w:tmpl w:val="5886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0326A"/>
    <w:multiLevelType w:val="hybridMultilevel"/>
    <w:tmpl w:val="A866F46C"/>
    <w:lvl w:ilvl="0" w:tplc="F06CE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4"/>
  </w:num>
  <w:num w:numId="5">
    <w:abstractNumId w:val="2"/>
  </w:num>
  <w:num w:numId="6">
    <w:abstractNumId w:val="17"/>
  </w:num>
  <w:num w:numId="7">
    <w:abstractNumId w:val="9"/>
  </w:num>
  <w:num w:numId="8">
    <w:abstractNumId w:val="24"/>
  </w:num>
  <w:num w:numId="9">
    <w:abstractNumId w:val="23"/>
  </w:num>
  <w:num w:numId="10">
    <w:abstractNumId w:val="29"/>
  </w:num>
  <w:num w:numId="11">
    <w:abstractNumId w:val="32"/>
  </w:num>
  <w:num w:numId="12">
    <w:abstractNumId w:val="10"/>
  </w:num>
  <w:num w:numId="13">
    <w:abstractNumId w:val="27"/>
  </w:num>
  <w:num w:numId="14">
    <w:abstractNumId w:val="26"/>
  </w:num>
  <w:num w:numId="15">
    <w:abstractNumId w:val="12"/>
  </w:num>
  <w:num w:numId="16">
    <w:abstractNumId w:val="21"/>
  </w:num>
  <w:num w:numId="17">
    <w:abstractNumId w:val="0"/>
  </w:num>
  <w:num w:numId="18">
    <w:abstractNumId w:val="28"/>
  </w:num>
  <w:num w:numId="19">
    <w:abstractNumId w:val="19"/>
  </w:num>
  <w:num w:numId="20">
    <w:abstractNumId w:val="31"/>
  </w:num>
  <w:num w:numId="21">
    <w:abstractNumId w:val="13"/>
  </w:num>
  <w:num w:numId="22">
    <w:abstractNumId w:val="6"/>
  </w:num>
  <w:num w:numId="23">
    <w:abstractNumId w:val="22"/>
  </w:num>
  <w:num w:numId="24">
    <w:abstractNumId w:val="14"/>
  </w:num>
  <w:num w:numId="25">
    <w:abstractNumId w:val="8"/>
  </w:num>
  <w:num w:numId="26">
    <w:abstractNumId w:val="1"/>
  </w:num>
  <w:num w:numId="27">
    <w:abstractNumId w:val="25"/>
  </w:num>
  <w:num w:numId="28">
    <w:abstractNumId w:val="16"/>
  </w:num>
  <w:num w:numId="29">
    <w:abstractNumId w:val="3"/>
  </w:num>
  <w:num w:numId="30">
    <w:abstractNumId w:val="11"/>
  </w:num>
  <w:num w:numId="31">
    <w:abstractNumId w:val="30"/>
  </w:num>
  <w:num w:numId="32">
    <w:abstractNumId w:val="15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45"/>
    <w:rsid w:val="00013160"/>
    <w:rsid w:val="000315F9"/>
    <w:rsid w:val="00036F56"/>
    <w:rsid w:val="000370A6"/>
    <w:rsid w:val="00037876"/>
    <w:rsid w:val="0003796D"/>
    <w:rsid w:val="000435A3"/>
    <w:rsid w:val="00046FCE"/>
    <w:rsid w:val="000820C1"/>
    <w:rsid w:val="00083DB1"/>
    <w:rsid w:val="00087AE0"/>
    <w:rsid w:val="000A2450"/>
    <w:rsid w:val="000A493C"/>
    <w:rsid w:val="000C05EA"/>
    <w:rsid w:val="000C1545"/>
    <w:rsid w:val="000C77A9"/>
    <w:rsid w:val="00100F64"/>
    <w:rsid w:val="001071EB"/>
    <w:rsid w:val="001108B6"/>
    <w:rsid w:val="0011145B"/>
    <w:rsid w:val="001316B9"/>
    <w:rsid w:val="00165792"/>
    <w:rsid w:val="00167E0E"/>
    <w:rsid w:val="0018406E"/>
    <w:rsid w:val="001859E8"/>
    <w:rsid w:val="001918F6"/>
    <w:rsid w:val="001B2C44"/>
    <w:rsid w:val="001D01B8"/>
    <w:rsid w:val="001F7FF2"/>
    <w:rsid w:val="0020062D"/>
    <w:rsid w:val="002054DA"/>
    <w:rsid w:val="0020772E"/>
    <w:rsid w:val="002141DA"/>
    <w:rsid w:val="00214BA9"/>
    <w:rsid w:val="002521F8"/>
    <w:rsid w:val="00264C65"/>
    <w:rsid w:val="0026748D"/>
    <w:rsid w:val="00267BEA"/>
    <w:rsid w:val="00275CF6"/>
    <w:rsid w:val="00284B6A"/>
    <w:rsid w:val="002A0388"/>
    <w:rsid w:val="002A129D"/>
    <w:rsid w:val="002A2ED2"/>
    <w:rsid w:val="002B1A06"/>
    <w:rsid w:val="002B612C"/>
    <w:rsid w:val="002D1CD9"/>
    <w:rsid w:val="002E06F1"/>
    <w:rsid w:val="002E467B"/>
    <w:rsid w:val="00305C99"/>
    <w:rsid w:val="00313023"/>
    <w:rsid w:val="003226B3"/>
    <w:rsid w:val="00327758"/>
    <w:rsid w:val="00331A69"/>
    <w:rsid w:val="00345C4F"/>
    <w:rsid w:val="00352EF0"/>
    <w:rsid w:val="00353DE0"/>
    <w:rsid w:val="00370AF5"/>
    <w:rsid w:val="00376FEF"/>
    <w:rsid w:val="00377E16"/>
    <w:rsid w:val="00386528"/>
    <w:rsid w:val="003A1289"/>
    <w:rsid w:val="003D2B3E"/>
    <w:rsid w:val="003D36A2"/>
    <w:rsid w:val="003D4237"/>
    <w:rsid w:val="003E2C5B"/>
    <w:rsid w:val="003F59E5"/>
    <w:rsid w:val="003F5BE7"/>
    <w:rsid w:val="004109CD"/>
    <w:rsid w:val="00431EF9"/>
    <w:rsid w:val="004327AA"/>
    <w:rsid w:val="00435A8E"/>
    <w:rsid w:val="00441438"/>
    <w:rsid w:val="004508EF"/>
    <w:rsid w:val="004509EC"/>
    <w:rsid w:val="00471A72"/>
    <w:rsid w:val="00475544"/>
    <w:rsid w:val="0048120B"/>
    <w:rsid w:val="00483E28"/>
    <w:rsid w:val="004A048E"/>
    <w:rsid w:val="004C0729"/>
    <w:rsid w:val="004C0994"/>
    <w:rsid w:val="004E1C70"/>
    <w:rsid w:val="004E45D0"/>
    <w:rsid w:val="004E50E0"/>
    <w:rsid w:val="004F6FFF"/>
    <w:rsid w:val="005053B9"/>
    <w:rsid w:val="005122D1"/>
    <w:rsid w:val="00514110"/>
    <w:rsid w:val="00526215"/>
    <w:rsid w:val="00546421"/>
    <w:rsid w:val="005619FA"/>
    <w:rsid w:val="00563BA1"/>
    <w:rsid w:val="00565FFC"/>
    <w:rsid w:val="00567EE2"/>
    <w:rsid w:val="00570799"/>
    <w:rsid w:val="00583C94"/>
    <w:rsid w:val="0058767F"/>
    <w:rsid w:val="005A62FB"/>
    <w:rsid w:val="005C51FF"/>
    <w:rsid w:val="005D416F"/>
    <w:rsid w:val="005D4FF0"/>
    <w:rsid w:val="005E2796"/>
    <w:rsid w:val="005F156D"/>
    <w:rsid w:val="00606D25"/>
    <w:rsid w:val="00607DA1"/>
    <w:rsid w:val="00611963"/>
    <w:rsid w:val="0061246A"/>
    <w:rsid w:val="0062034F"/>
    <w:rsid w:val="0062042F"/>
    <w:rsid w:val="00620514"/>
    <w:rsid w:val="00630BBF"/>
    <w:rsid w:val="00632B84"/>
    <w:rsid w:val="0063680C"/>
    <w:rsid w:val="00636F04"/>
    <w:rsid w:val="0064020C"/>
    <w:rsid w:val="006531AF"/>
    <w:rsid w:val="0066775E"/>
    <w:rsid w:val="00672424"/>
    <w:rsid w:val="00685BFB"/>
    <w:rsid w:val="0069681E"/>
    <w:rsid w:val="006A58AD"/>
    <w:rsid w:val="006A69F7"/>
    <w:rsid w:val="006B711F"/>
    <w:rsid w:val="006B78B8"/>
    <w:rsid w:val="006C5417"/>
    <w:rsid w:val="006D1A14"/>
    <w:rsid w:val="006E307F"/>
    <w:rsid w:val="00701EB7"/>
    <w:rsid w:val="00704168"/>
    <w:rsid w:val="00712DE5"/>
    <w:rsid w:val="007139F7"/>
    <w:rsid w:val="00725610"/>
    <w:rsid w:val="007450BD"/>
    <w:rsid w:val="00757425"/>
    <w:rsid w:val="007620BF"/>
    <w:rsid w:val="007720CA"/>
    <w:rsid w:val="007752D0"/>
    <w:rsid w:val="0078241D"/>
    <w:rsid w:val="0078296A"/>
    <w:rsid w:val="007857DE"/>
    <w:rsid w:val="00793205"/>
    <w:rsid w:val="007A3E24"/>
    <w:rsid w:val="007A5935"/>
    <w:rsid w:val="007A59D1"/>
    <w:rsid w:val="007B3241"/>
    <w:rsid w:val="007B4260"/>
    <w:rsid w:val="007B4935"/>
    <w:rsid w:val="007B6A50"/>
    <w:rsid w:val="007B765B"/>
    <w:rsid w:val="007C1FCC"/>
    <w:rsid w:val="007D44B0"/>
    <w:rsid w:val="007D460E"/>
    <w:rsid w:val="007E1E13"/>
    <w:rsid w:val="007E257C"/>
    <w:rsid w:val="007E556E"/>
    <w:rsid w:val="007E7E7A"/>
    <w:rsid w:val="007F3484"/>
    <w:rsid w:val="007F62C3"/>
    <w:rsid w:val="0081132C"/>
    <w:rsid w:val="00817A2E"/>
    <w:rsid w:val="00824046"/>
    <w:rsid w:val="008257F4"/>
    <w:rsid w:val="00880607"/>
    <w:rsid w:val="008814A8"/>
    <w:rsid w:val="00885941"/>
    <w:rsid w:val="008A5467"/>
    <w:rsid w:val="008A6F9D"/>
    <w:rsid w:val="008B4620"/>
    <w:rsid w:val="008C2095"/>
    <w:rsid w:val="008E0F48"/>
    <w:rsid w:val="008E1DED"/>
    <w:rsid w:val="008F3478"/>
    <w:rsid w:val="00901DAA"/>
    <w:rsid w:val="009136AB"/>
    <w:rsid w:val="0094036B"/>
    <w:rsid w:val="00947946"/>
    <w:rsid w:val="00983F78"/>
    <w:rsid w:val="0099094F"/>
    <w:rsid w:val="009921E8"/>
    <w:rsid w:val="00995ADF"/>
    <w:rsid w:val="00996C4F"/>
    <w:rsid w:val="009A372D"/>
    <w:rsid w:val="009A41AF"/>
    <w:rsid w:val="009B6CEE"/>
    <w:rsid w:val="009C43D6"/>
    <w:rsid w:val="009C6AF0"/>
    <w:rsid w:val="009C777E"/>
    <w:rsid w:val="009E72F4"/>
    <w:rsid w:val="00A1010C"/>
    <w:rsid w:val="00A134D4"/>
    <w:rsid w:val="00A14AF6"/>
    <w:rsid w:val="00A20B7A"/>
    <w:rsid w:val="00A21A15"/>
    <w:rsid w:val="00A533A2"/>
    <w:rsid w:val="00A53B29"/>
    <w:rsid w:val="00A55EF8"/>
    <w:rsid w:val="00A56151"/>
    <w:rsid w:val="00A71CCF"/>
    <w:rsid w:val="00A744BF"/>
    <w:rsid w:val="00A833BA"/>
    <w:rsid w:val="00A93750"/>
    <w:rsid w:val="00AA536F"/>
    <w:rsid w:val="00AB1AEB"/>
    <w:rsid w:val="00AB33BC"/>
    <w:rsid w:val="00AB558D"/>
    <w:rsid w:val="00AB64A5"/>
    <w:rsid w:val="00AC2B47"/>
    <w:rsid w:val="00AC6269"/>
    <w:rsid w:val="00AD492B"/>
    <w:rsid w:val="00B12932"/>
    <w:rsid w:val="00B17133"/>
    <w:rsid w:val="00B3285C"/>
    <w:rsid w:val="00B46EB9"/>
    <w:rsid w:val="00B52FFE"/>
    <w:rsid w:val="00B67C33"/>
    <w:rsid w:val="00B762E5"/>
    <w:rsid w:val="00B851A6"/>
    <w:rsid w:val="00BA1518"/>
    <w:rsid w:val="00BB0A2C"/>
    <w:rsid w:val="00BB3809"/>
    <w:rsid w:val="00BB48D4"/>
    <w:rsid w:val="00BC3E0D"/>
    <w:rsid w:val="00BD198B"/>
    <w:rsid w:val="00BD7C3D"/>
    <w:rsid w:val="00BF353F"/>
    <w:rsid w:val="00BF3F91"/>
    <w:rsid w:val="00C10A9F"/>
    <w:rsid w:val="00C3194F"/>
    <w:rsid w:val="00C326E8"/>
    <w:rsid w:val="00C3791C"/>
    <w:rsid w:val="00C40BA7"/>
    <w:rsid w:val="00C42339"/>
    <w:rsid w:val="00C44C13"/>
    <w:rsid w:val="00C46C45"/>
    <w:rsid w:val="00C549EE"/>
    <w:rsid w:val="00C607AA"/>
    <w:rsid w:val="00C61807"/>
    <w:rsid w:val="00C62B58"/>
    <w:rsid w:val="00C752F5"/>
    <w:rsid w:val="00C86979"/>
    <w:rsid w:val="00C97D85"/>
    <w:rsid w:val="00CA06F1"/>
    <w:rsid w:val="00CB0E03"/>
    <w:rsid w:val="00CB1042"/>
    <w:rsid w:val="00CB6142"/>
    <w:rsid w:val="00CC1BA6"/>
    <w:rsid w:val="00CC3409"/>
    <w:rsid w:val="00CC38F4"/>
    <w:rsid w:val="00CC3B1B"/>
    <w:rsid w:val="00CD1EF9"/>
    <w:rsid w:val="00CE6668"/>
    <w:rsid w:val="00D22E09"/>
    <w:rsid w:val="00D26A37"/>
    <w:rsid w:val="00D33CE2"/>
    <w:rsid w:val="00D62D8A"/>
    <w:rsid w:val="00D647F1"/>
    <w:rsid w:val="00D72609"/>
    <w:rsid w:val="00D753B3"/>
    <w:rsid w:val="00D828A8"/>
    <w:rsid w:val="00DA046E"/>
    <w:rsid w:val="00DA3FB7"/>
    <w:rsid w:val="00DB5DD3"/>
    <w:rsid w:val="00DD2F67"/>
    <w:rsid w:val="00DD710C"/>
    <w:rsid w:val="00DD7554"/>
    <w:rsid w:val="00E468C3"/>
    <w:rsid w:val="00E50313"/>
    <w:rsid w:val="00E54498"/>
    <w:rsid w:val="00E6017F"/>
    <w:rsid w:val="00E7308B"/>
    <w:rsid w:val="00E80E1D"/>
    <w:rsid w:val="00EB0C42"/>
    <w:rsid w:val="00EB2680"/>
    <w:rsid w:val="00EB57F9"/>
    <w:rsid w:val="00EC49F8"/>
    <w:rsid w:val="00ED09EF"/>
    <w:rsid w:val="00ED1B86"/>
    <w:rsid w:val="00EE45D5"/>
    <w:rsid w:val="00EF09DA"/>
    <w:rsid w:val="00F1379F"/>
    <w:rsid w:val="00F22C52"/>
    <w:rsid w:val="00F36D37"/>
    <w:rsid w:val="00F42890"/>
    <w:rsid w:val="00F513E5"/>
    <w:rsid w:val="00F810E5"/>
    <w:rsid w:val="00F92F13"/>
    <w:rsid w:val="00FA125F"/>
    <w:rsid w:val="00FA44A1"/>
    <w:rsid w:val="00FA68D5"/>
    <w:rsid w:val="00FB0CD6"/>
    <w:rsid w:val="00FB7EEB"/>
    <w:rsid w:val="00FC5DA3"/>
    <w:rsid w:val="00FD36CC"/>
    <w:rsid w:val="00FD6303"/>
    <w:rsid w:val="00FE6049"/>
    <w:rsid w:val="00FE657B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42DD"/>
  <w15:docId w15:val="{7E74C8AB-699E-4820-A97B-064C55CB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9"/>
    <w:qFormat/>
    <w:rsid w:val="000C1545"/>
    <w:pPr>
      <w:keepNext/>
      <w:spacing w:after="0" w:line="260" w:lineRule="atLeast"/>
      <w:outlineLvl w:val="0"/>
    </w:pPr>
    <w:rPr>
      <w:rFonts w:ascii="Arial Black" w:eastAsia="Times New Roman" w:hAnsi="Arial Black" w:cs="Arial"/>
      <w:bCs/>
      <w:color w:val="4F2D7F"/>
      <w:kern w:val="32"/>
      <w:sz w:val="19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94F"/>
    <w:pPr>
      <w:ind w:left="720"/>
      <w:contextualSpacing/>
    </w:pPr>
  </w:style>
  <w:style w:type="paragraph" w:styleId="BodyText2">
    <w:name w:val="Body Text 2"/>
    <w:basedOn w:val="Normal"/>
    <w:link w:val="BodyText2Char"/>
    <w:rsid w:val="00B76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762E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CC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C1545"/>
    <w:rPr>
      <w:rFonts w:ascii="Arial Black" w:eastAsia="Times New Roman" w:hAnsi="Arial Black" w:cs="Arial"/>
      <w:bCs/>
      <w:color w:val="4F2D7F"/>
      <w:kern w:val="32"/>
      <w:sz w:val="19"/>
      <w:szCs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0C15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1545"/>
  </w:style>
  <w:style w:type="paragraph" w:styleId="BalloonText">
    <w:name w:val="Balloon Text"/>
    <w:basedOn w:val="Normal"/>
    <w:link w:val="BalloonTextChar"/>
    <w:uiPriority w:val="99"/>
    <w:semiHidden/>
    <w:unhideWhenUsed/>
    <w:rsid w:val="000C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2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E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2E0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F35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35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35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3F"/>
  </w:style>
  <w:style w:type="paragraph" w:styleId="Footer">
    <w:name w:val="footer"/>
    <w:basedOn w:val="Normal"/>
    <w:link w:val="FooterChar"/>
    <w:uiPriority w:val="99"/>
    <w:unhideWhenUsed/>
    <w:rsid w:val="00BF3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3F"/>
  </w:style>
  <w:style w:type="paragraph" w:customStyle="1" w:styleId="ReferenceTitle">
    <w:name w:val="Reference Title"/>
    <w:next w:val="Normal"/>
    <w:rsid w:val="00BF353F"/>
    <w:pPr>
      <w:spacing w:after="0" w:line="240" w:lineRule="auto"/>
    </w:pPr>
    <w:rPr>
      <w:rFonts w:ascii="Arial Black" w:eastAsia="Times New Roman" w:hAnsi="Arial Black" w:cs="Arial"/>
      <w:kern w:val="32"/>
      <w:sz w:val="18"/>
      <w:szCs w:val="24"/>
      <w:lang w:val="en-GB"/>
    </w:rPr>
  </w:style>
  <w:style w:type="paragraph" w:customStyle="1" w:styleId="LetterFooterTitle">
    <w:name w:val="Letter Footer Title"/>
    <w:next w:val="Normal"/>
    <w:semiHidden/>
    <w:rsid w:val="00BF353F"/>
    <w:pPr>
      <w:spacing w:after="0" w:line="140" w:lineRule="atLeast"/>
    </w:pPr>
    <w:rPr>
      <w:rFonts w:ascii="Arial Narrow" w:eastAsia="Times New Roman" w:hAnsi="Arial Narrow" w:cs="Arial"/>
      <w:b/>
      <w:sz w:val="11"/>
      <w:szCs w:val="20"/>
      <w:lang w:val="en-GB"/>
    </w:rPr>
  </w:style>
  <w:style w:type="paragraph" w:customStyle="1" w:styleId="Default">
    <w:name w:val="Default"/>
    <w:rsid w:val="005A62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5ADF"/>
    <w:rPr>
      <w:color w:val="0000FF"/>
      <w:u w:val="single"/>
    </w:rPr>
  </w:style>
  <w:style w:type="paragraph" w:customStyle="1" w:styleId="Copyright">
    <w:name w:val="Copyright"/>
    <w:semiHidden/>
    <w:rsid w:val="00214BA9"/>
    <w:pPr>
      <w:spacing w:after="0" w:line="220" w:lineRule="atLeast"/>
    </w:pPr>
    <w:rPr>
      <w:rFonts w:ascii="Garamond" w:eastAsia="Times New Roman" w:hAnsi="Garamond" w:cs="Arial"/>
      <w:sz w:val="20"/>
      <w:szCs w:val="20"/>
      <w:lang w:val="en-GB"/>
    </w:rPr>
  </w:style>
  <w:style w:type="paragraph" w:customStyle="1" w:styleId="Line">
    <w:name w:val="Line"/>
    <w:rsid w:val="00214BA9"/>
    <w:pPr>
      <w:pBdr>
        <w:top w:val="single" w:sz="12" w:space="8" w:color="808080"/>
      </w:pBdr>
      <w:spacing w:before="120" w:after="160" w:line="240" w:lineRule="auto"/>
    </w:pPr>
    <w:rPr>
      <w:rFonts w:ascii="Times New Roman" w:eastAsia="Times New Roman" w:hAnsi="Times New Roman" w:cs="Times New Roman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14BA9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214BA9"/>
    <w:rPr>
      <w:rFonts w:eastAsiaTheme="minorEastAsia"/>
      <w:i/>
      <w:iCs/>
      <w:color w:val="000000" w:themeColor="text1"/>
      <w:lang w:eastAsia="ja-JP"/>
    </w:rPr>
  </w:style>
  <w:style w:type="character" w:customStyle="1" w:styleId="apple-converted-space">
    <w:name w:val="apple-converted-space"/>
    <w:basedOn w:val="DefaultParagraphFont"/>
    <w:rsid w:val="0048120B"/>
  </w:style>
  <w:style w:type="table" w:styleId="LightShading-Accent1">
    <w:name w:val="Light Shading Accent 1"/>
    <w:basedOn w:val="TableNormal"/>
    <w:uiPriority w:val="60"/>
    <w:rsid w:val="00EC49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4">
    <w:name w:val="Medium List 1 Accent 4"/>
    <w:basedOn w:val="TableNormal"/>
    <w:uiPriority w:val="65"/>
    <w:rsid w:val="00EC4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Grid1-Accent4">
    <w:name w:val="Medium Grid 1 Accent 4"/>
    <w:basedOn w:val="TableNormal"/>
    <w:uiPriority w:val="67"/>
    <w:rsid w:val="00EC49F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C49F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EC49F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FootnoteReference">
    <w:name w:val="footnote reference"/>
    <w:uiPriority w:val="99"/>
    <w:rsid w:val="002077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077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772E"/>
    <w:rPr>
      <w:rFonts w:ascii="Times New Roman" w:eastAsia="Batang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34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49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975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65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395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92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2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25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85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56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51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1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31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98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37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68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054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271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703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25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709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33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1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48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636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548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62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922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83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5540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52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5274-0CF7-4775-B52A-73855B2F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International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Sonny M. Lalunio</dc:creator>
  <cp:lastModifiedBy>Windows User</cp:lastModifiedBy>
  <cp:revision>4</cp:revision>
  <cp:lastPrinted>2017-02-01T06:41:00Z</cp:lastPrinted>
  <dcterms:created xsi:type="dcterms:W3CDTF">2017-02-01T06:48:00Z</dcterms:created>
  <dcterms:modified xsi:type="dcterms:W3CDTF">2017-02-01T07:00:00Z</dcterms:modified>
</cp:coreProperties>
</file>