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F5" w:rsidRDefault="00AB1AEB" w:rsidP="0026748D">
      <w:pPr>
        <w:spacing w:after="0" w:line="240" w:lineRule="auto"/>
        <w:rPr>
          <w:rFonts w:ascii="Garamond" w:eastAsia="Times New Roman" w:hAnsi="Garamond" w:cs="Arial"/>
          <w:b/>
          <w:bCs/>
          <w:color w:val="4F2D7F"/>
          <w:kern w:val="28"/>
          <w:sz w:val="72"/>
          <w:szCs w:val="72"/>
          <w:lang w:val="fr-FR"/>
        </w:rPr>
      </w:pPr>
      <w:r>
        <w:rPr>
          <w:noProof/>
        </w:rPr>
        <w:drawing>
          <wp:anchor distT="0" distB="0" distL="114300" distR="114300" simplePos="0" relativeHeight="251660288" behindDoc="0" locked="0" layoutInCell="1" allowOverlap="1">
            <wp:simplePos x="0" y="0"/>
            <wp:positionH relativeFrom="column">
              <wp:posOffset>-42701</wp:posOffset>
            </wp:positionH>
            <wp:positionV relativeFrom="paragraph">
              <wp:posOffset>263</wp:posOffset>
            </wp:positionV>
            <wp:extent cx="2703195" cy="922020"/>
            <wp:effectExtent l="0" t="0" r="1905" b="0"/>
            <wp:wrapThrough wrapText="bothSides">
              <wp:wrapPolygon edited="0">
                <wp:start x="0" y="0"/>
                <wp:lineTo x="0" y="20975"/>
                <wp:lineTo x="21463" y="20975"/>
                <wp:lineTo x="214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03195" cy="922020"/>
                    </a:xfrm>
                    <a:prstGeom prst="rect">
                      <a:avLst/>
                    </a:prstGeom>
                  </pic:spPr>
                </pic:pic>
              </a:graphicData>
            </a:graphic>
            <wp14:sizeRelH relativeFrom="page">
              <wp14:pctWidth>0</wp14:pctWidth>
            </wp14:sizeRelH>
            <wp14:sizeRelV relativeFrom="page">
              <wp14:pctHeight>0</wp14:pctHeight>
            </wp14:sizeRelV>
          </wp:anchor>
        </w:drawing>
      </w:r>
    </w:p>
    <w:p w:rsidR="00C752F5" w:rsidRDefault="00C752F5" w:rsidP="0026748D">
      <w:pPr>
        <w:spacing w:after="0" w:line="240" w:lineRule="auto"/>
        <w:rPr>
          <w:rFonts w:ascii="Garamond" w:eastAsia="Times New Roman" w:hAnsi="Garamond" w:cs="Arial"/>
          <w:b/>
          <w:bCs/>
          <w:color w:val="4F2D7F"/>
          <w:kern w:val="28"/>
          <w:sz w:val="24"/>
          <w:szCs w:val="24"/>
          <w:lang w:val="fr-FR"/>
        </w:rPr>
      </w:pPr>
    </w:p>
    <w:p w:rsidR="00583C94" w:rsidRPr="007E556E" w:rsidRDefault="00583C94" w:rsidP="0026748D">
      <w:pPr>
        <w:spacing w:after="0" w:line="240" w:lineRule="auto"/>
        <w:rPr>
          <w:rFonts w:ascii="Garamond" w:eastAsia="Times New Roman" w:hAnsi="Garamond" w:cs="Arial"/>
          <w:b/>
          <w:bCs/>
          <w:color w:val="4F2D7F"/>
          <w:kern w:val="28"/>
          <w:sz w:val="24"/>
          <w:szCs w:val="24"/>
          <w:lang w:val="fr-FR"/>
        </w:rPr>
      </w:pPr>
    </w:p>
    <w:p w:rsidR="00636F04" w:rsidRDefault="00636F04" w:rsidP="0026748D">
      <w:pPr>
        <w:spacing w:after="0" w:line="240" w:lineRule="auto"/>
        <w:rPr>
          <w:rFonts w:ascii="Garamond" w:eastAsia="Times New Roman" w:hAnsi="Garamond" w:cs="Arial"/>
          <w:b/>
          <w:bCs/>
          <w:color w:val="4F2D7F"/>
          <w:kern w:val="28"/>
          <w:sz w:val="32"/>
          <w:szCs w:val="68"/>
          <w:lang w:val="fr-FR"/>
        </w:rPr>
      </w:pPr>
    </w:p>
    <w:p w:rsidR="004C0994" w:rsidRPr="00EE45D5" w:rsidRDefault="00C46C45" w:rsidP="0026748D">
      <w:pPr>
        <w:spacing w:after="0" w:line="240" w:lineRule="auto"/>
        <w:rPr>
          <w:rFonts w:ascii="Garamond" w:eastAsia="Times New Roman" w:hAnsi="Garamond" w:cs="Arial"/>
          <w:b/>
          <w:bCs/>
          <w:color w:val="4F2D7F"/>
          <w:kern w:val="28"/>
          <w:sz w:val="68"/>
          <w:szCs w:val="68"/>
          <w:lang w:val="fr-FR"/>
        </w:rPr>
      </w:pPr>
      <w:proofErr w:type="spellStart"/>
      <w:r w:rsidRPr="00EE45D5">
        <w:rPr>
          <w:rFonts w:ascii="Garamond" w:eastAsia="Times New Roman" w:hAnsi="Garamond" w:cs="Arial"/>
          <w:b/>
          <w:bCs/>
          <w:color w:val="4F2D7F"/>
          <w:kern w:val="28"/>
          <w:sz w:val="68"/>
          <w:szCs w:val="68"/>
          <w:lang w:val="fr-FR"/>
        </w:rPr>
        <w:t>Accounting</w:t>
      </w:r>
      <w:proofErr w:type="spellEnd"/>
      <w:r w:rsidRPr="00EE45D5">
        <w:rPr>
          <w:rFonts w:ascii="Garamond" w:eastAsia="Times New Roman" w:hAnsi="Garamond" w:cs="Arial"/>
          <w:b/>
          <w:bCs/>
          <w:color w:val="4F2D7F"/>
          <w:kern w:val="28"/>
          <w:sz w:val="68"/>
          <w:szCs w:val="68"/>
          <w:lang w:val="fr-FR"/>
        </w:rPr>
        <w:t xml:space="preserve"> </w:t>
      </w:r>
      <w:proofErr w:type="spellStart"/>
      <w:r w:rsidRPr="00EE45D5">
        <w:rPr>
          <w:rFonts w:ascii="Garamond" w:eastAsia="Times New Roman" w:hAnsi="Garamond" w:cs="Arial"/>
          <w:b/>
          <w:bCs/>
          <w:color w:val="4F2D7F"/>
          <w:kern w:val="28"/>
          <w:sz w:val="68"/>
          <w:szCs w:val="68"/>
          <w:lang w:val="fr-FR"/>
        </w:rPr>
        <w:t>Alert</w:t>
      </w:r>
      <w:proofErr w:type="spellEnd"/>
    </w:p>
    <w:p w:rsidR="00563BA1" w:rsidRPr="00EE45D5" w:rsidRDefault="00C607AA" w:rsidP="00563BA1">
      <w:pPr>
        <w:pBdr>
          <w:bottom w:val="single" w:sz="12" w:space="1" w:color="7F7F7F" w:themeColor="text1" w:themeTint="80"/>
        </w:pBdr>
        <w:spacing w:after="0" w:line="240" w:lineRule="auto"/>
        <w:rPr>
          <w:rFonts w:ascii="Arial" w:eastAsia="Times New Roman" w:hAnsi="Arial" w:cs="Arial"/>
          <w:b/>
          <w:color w:val="006D55"/>
          <w:sz w:val="28"/>
          <w:szCs w:val="28"/>
          <w:lang w:val="en-GB"/>
        </w:rPr>
      </w:pPr>
      <w:r w:rsidRPr="00EE45D5">
        <w:rPr>
          <w:rFonts w:ascii="Arial" w:eastAsia="Times New Roman" w:hAnsi="Arial" w:cs="Arial"/>
          <w:b/>
          <w:color w:val="006D55"/>
          <w:sz w:val="28"/>
          <w:szCs w:val="28"/>
          <w:lang w:val="en-GB"/>
        </w:rPr>
        <w:t>Financial Reporting Standards</w:t>
      </w:r>
    </w:p>
    <w:p w:rsidR="00563BA1" w:rsidRDefault="00563BA1" w:rsidP="00370AF5">
      <w:pPr>
        <w:pBdr>
          <w:bottom w:val="single" w:sz="12" w:space="1" w:color="7F7F7F" w:themeColor="text1" w:themeTint="80"/>
        </w:pBdr>
        <w:spacing w:after="0" w:line="240" w:lineRule="auto"/>
        <w:rPr>
          <w:rFonts w:ascii="Arial" w:eastAsia="Times New Roman" w:hAnsi="Arial" w:cs="Arial"/>
          <w:b/>
          <w:color w:val="006D55"/>
          <w:sz w:val="24"/>
          <w:szCs w:val="24"/>
          <w:lang w:val="en-GB"/>
        </w:rPr>
      </w:pPr>
    </w:p>
    <w:p w:rsidR="00563BA1" w:rsidRDefault="00526215" w:rsidP="00563BA1">
      <w:pPr>
        <w:pBdr>
          <w:bottom w:val="single" w:sz="12" w:space="1" w:color="7F7F7F" w:themeColor="text1" w:themeTint="80"/>
        </w:pBdr>
        <w:spacing w:after="0" w:line="240" w:lineRule="auto"/>
        <w:rPr>
          <w:rFonts w:ascii="Arial" w:eastAsia="Times New Roman" w:hAnsi="Arial" w:cs="Arial"/>
          <w:b/>
          <w:color w:val="006D55"/>
          <w:sz w:val="24"/>
          <w:szCs w:val="24"/>
          <w:lang w:val="en-GB"/>
        </w:rPr>
      </w:pPr>
      <w:r>
        <w:rPr>
          <w:rFonts w:ascii="Arial" w:eastAsia="Times New Roman" w:hAnsi="Arial" w:cs="Arial"/>
          <w:b/>
          <w:color w:val="006D55"/>
          <w:sz w:val="24"/>
          <w:szCs w:val="24"/>
          <w:lang w:val="en-GB"/>
        </w:rPr>
        <w:t>December 14</w:t>
      </w:r>
      <w:r w:rsidR="00583C94">
        <w:rPr>
          <w:rFonts w:ascii="Arial" w:eastAsia="Times New Roman" w:hAnsi="Arial" w:cs="Arial"/>
          <w:b/>
          <w:color w:val="006D55"/>
          <w:sz w:val="24"/>
          <w:szCs w:val="24"/>
          <w:lang w:val="en-GB"/>
        </w:rPr>
        <w:t>,</w:t>
      </w:r>
      <w:r w:rsidR="00563BA1" w:rsidRPr="007E7E7A">
        <w:rPr>
          <w:rFonts w:ascii="Arial" w:eastAsia="Times New Roman" w:hAnsi="Arial" w:cs="Arial"/>
          <w:b/>
          <w:color w:val="006D55"/>
          <w:sz w:val="24"/>
          <w:szCs w:val="24"/>
          <w:lang w:val="en-GB"/>
        </w:rPr>
        <w:t xml:space="preserve"> 201</w:t>
      </w:r>
      <w:r w:rsidR="00EC49F8">
        <w:rPr>
          <w:rFonts w:ascii="Arial" w:eastAsia="Times New Roman" w:hAnsi="Arial" w:cs="Arial"/>
          <w:b/>
          <w:color w:val="006D55"/>
          <w:sz w:val="24"/>
          <w:szCs w:val="24"/>
          <w:lang w:val="en-GB"/>
        </w:rPr>
        <w:t>6</w:t>
      </w:r>
    </w:p>
    <w:p w:rsidR="00CA06F1" w:rsidRPr="007E7E7A" w:rsidRDefault="00CA06F1" w:rsidP="00563BA1">
      <w:pPr>
        <w:pBdr>
          <w:bottom w:val="single" w:sz="12" w:space="1" w:color="7F7F7F" w:themeColor="text1" w:themeTint="80"/>
        </w:pBdr>
        <w:spacing w:after="0" w:line="240" w:lineRule="auto"/>
        <w:rPr>
          <w:rFonts w:ascii="Arial" w:eastAsia="Times New Roman" w:hAnsi="Arial" w:cs="Arial"/>
          <w:b/>
          <w:color w:val="006D55"/>
          <w:sz w:val="24"/>
          <w:szCs w:val="24"/>
          <w:lang w:val="en-GB"/>
        </w:rPr>
      </w:pPr>
    </w:p>
    <w:p w:rsidR="007B3241" w:rsidRDefault="007B3241" w:rsidP="0026748D">
      <w:pPr>
        <w:spacing w:after="0" w:line="240" w:lineRule="auto"/>
        <w:rPr>
          <w:rFonts w:ascii="Arial" w:eastAsia="Meiryo" w:hAnsi="Arial" w:cs="Arial"/>
          <w:sz w:val="20"/>
          <w:szCs w:val="20"/>
        </w:rPr>
      </w:pPr>
    </w:p>
    <w:p w:rsidR="0048120B" w:rsidRDefault="00526215" w:rsidP="0018406E">
      <w:pPr>
        <w:autoSpaceDE w:val="0"/>
        <w:autoSpaceDN w:val="0"/>
        <w:adjustRightInd w:val="0"/>
        <w:spacing w:after="0" w:line="240" w:lineRule="auto"/>
        <w:rPr>
          <w:rFonts w:ascii="Garamond" w:hAnsi="Garamond" w:cs="Garamond"/>
          <w:b/>
          <w:bCs/>
          <w:color w:val="234A12"/>
          <w:sz w:val="36"/>
          <w:szCs w:val="36"/>
          <w:shd w:val="clear" w:color="auto" w:fill="FFFFFF"/>
        </w:rPr>
      </w:pPr>
      <w:r>
        <w:rPr>
          <w:rFonts w:ascii="Garamond" w:hAnsi="Garamond" w:cs="Garamond"/>
          <w:b/>
          <w:bCs/>
          <w:color w:val="234A12"/>
          <w:sz w:val="36"/>
          <w:szCs w:val="36"/>
          <w:shd w:val="clear" w:color="auto" w:fill="FFFFFF"/>
        </w:rPr>
        <w:t>Topics covered:</w:t>
      </w:r>
    </w:p>
    <w:p w:rsidR="00526215" w:rsidRDefault="00526215" w:rsidP="00526215">
      <w:pPr>
        <w:pStyle w:val="ListParagraph"/>
        <w:numPr>
          <w:ilvl w:val="0"/>
          <w:numId w:val="25"/>
        </w:numPr>
        <w:autoSpaceDE w:val="0"/>
        <w:autoSpaceDN w:val="0"/>
        <w:adjustRightInd w:val="0"/>
        <w:spacing w:after="0" w:line="240" w:lineRule="auto"/>
        <w:ind w:left="900" w:hanging="540"/>
        <w:rPr>
          <w:rFonts w:ascii="Garamond" w:hAnsi="Garamond"/>
          <w:b/>
          <w:bCs/>
          <w:color w:val="234A12"/>
          <w:sz w:val="36"/>
          <w:szCs w:val="36"/>
          <w:shd w:val="clear" w:color="auto" w:fill="FFFFFF"/>
        </w:rPr>
      </w:pPr>
      <w:r>
        <w:rPr>
          <w:rFonts w:ascii="Garamond" w:hAnsi="Garamond"/>
          <w:b/>
          <w:bCs/>
          <w:color w:val="234A12"/>
          <w:sz w:val="36"/>
          <w:szCs w:val="36"/>
          <w:shd w:val="clear" w:color="auto" w:fill="FFFFFF"/>
        </w:rPr>
        <w:t>Annual Improvements to IFRS 2014-2016 Cycle</w:t>
      </w:r>
    </w:p>
    <w:p w:rsidR="00526215" w:rsidRDefault="00526215" w:rsidP="00526215">
      <w:pPr>
        <w:pStyle w:val="ListParagraph"/>
        <w:numPr>
          <w:ilvl w:val="0"/>
          <w:numId w:val="25"/>
        </w:numPr>
        <w:autoSpaceDE w:val="0"/>
        <w:autoSpaceDN w:val="0"/>
        <w:adjustRightInd w:val="0"/>
        <w:spacing w:after="0" w:line="240" w:lineRule="auto"/>
        <w:ind w:left="900" w:hanging="540"/>
        <w:rPr>
          <w:rFonts w:ascii="Garamond" w:hAnsi="Garamond"/>
          <w:b/>
          <w:bCs/>
          <w:color w:val="234A12"/>
          <w:sz w:val="36"/>
          <w:szCs w:val="36"/>
          <w:shd w:val="clear" w:color="auto" w:fill="FFFFFF"/>
        </w:rPr>
      </w:pPr>
      <w:r>
        <w:rPr>
          <w:rFonts w:ascii="Garamond" w:hAnsi="Garamond"/>
          <w:b/>
          <w:bCs/>
          <w:color w:val="234A12"/>
          <w:sz w:val="36"/>
          <w:szCs w:val="36"/>
          <w:shd w:val="clear" w:color="auto" w:fill="FFFFFF"/>
        </w:rPr>
        <w:t>Transfers of Investment Property</w:t>
      </w:r>
    </w:p>
    <w:p w:rsidR="00526215" w:rsidRPr="00526215" w:rsidRDefault="00526215" w:rsidP="00526215">
      <w:pPr>
        <w:pStyle w:val="ListParagraph"/>
        <w:numPr>
          <w:ilvl w:val="0"/>
          <w:numId w:val="25"/>
        </w:numPr>
        <w:autoSpaceDE w:val="0"/>
        <w:autoSpaceDN w:val="0"/>
        <w:adjustRightInd w:val="0"/>
        <w:spacing w:after="0" w:line="240" w:lineRule="auto"/>
        <w:ind w:left="900" w:hanging="540"/>
        <w:rPr>
          <w:rFonts w:ascii="Garamond" w:hAnsi="Garamond"/>
          <w:b/>
          <w:bCs/>
          <w:color w:val="234A12"/>
          <w:sz w:val="36"/>
          <w:szCs w:val="36"/>
          <w:shd w:val="clear" w:color="auto" w:fill="FFFFFF"/>
        </w:rPr>
      </w:pPr>
      <w:r>
        <w:rPr>
          <w:rFonts w:ascii="Garamond" w:hAnsi="Garamond"/>
          <w:b/>
          <w:bCs/>
          <w:color w:val="234A12"/>
          <w:sz w:val="36"/>
          <w:szCs w:val="36"/>
          <w:shd w:val="clear" w:color="auto" w:fill="FFFFFF"/>
        </w:rPr>
        <w:t xml:space="preserve">IFRIC 22, </w:t>
      </w:r>
      <w:r w:rsidRPr="00526215">
        <w:rPr>
          <w:rFonts w:ascii="Garamond" w:hAnsi="Garamond"/>
          <w:b/>
          <w:bCs/>
          <w:i/>
          <w:color w:val="234A12"/>
          <w:sz w:val="36"/>
          <w:szCs w:val="36"/>
          <w:shd w:val="clear" w:color="auto" w:fill="FFFFFF"/>
        </w:rPr>
        <w:t>Foreign Currency Transactions and Advance Consideration</w:t>
      </w:r>
    </w:p>
    <w:p w:rsidR="00526215" w:rsidRDefault="00526215" w:rsidP="00526215">
      <w:pPr>
        <w:autoSpaceDE w:val="0"/>
        <w:autoSpaceDN w:val="0"/>
        <w:adjustRightInd w:val="0"/>
        <w:spacing w:after="0" w:line="280" w:lineRule="atLeast"/>
        <w:rPr>
          <w:rFonts w:ascii="Garamond" w:hAnsi="Garamond" w:cs="Garamond"/>
          <w:color w:val="000000"/>
          <w:sz w:val="21"/>
          <w:szCs w:val="21"/>
        </w:rPr>
      </w:pPr>
      <w:r>
        <w:rPr>
          <w:noProof/>
        </w:rPr>
        <w:drawing>
          <wp:inline distT="0" distB="0" distL="0" distR="0" wp14:anchorId="51692370" wp14:editId="49815CF9">
            <wp:extent cx="6141346" cy="8767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7310" cy="91473"/>
                    </a:xfrm>
                    <a:prstGeom prst="rect">
                      <a:avLst/>
                    </a:prstGeom>
                  </pic:spPr>
                </pic:pic>
              </a:graphicData>
            </a:graphic>
          </wp:inline>
        </w:drawing>
      </w:r>
    </w:p>
    <w:p w:rsidR="00526215" w:rsidRDefault="00526215" w:rsidP="00583C94">
      <w:pPr>
        <w:autoSpaceDE w:val="0"/>
        <w:autoSpaceDN w:val="0"/>
        <w:adjustRightInd w:val="0"/>
        <w:spacing w:after="0" w:line="300" w:lineRule="atLeast"/>
        <w:rPr>
          <w:rFonts w:ascii="Arial Black" w:eastAsia="Times New Roman" w:hAnsi="Arial Black" w:cs="Arial"/>
          <w:bCs/>
          <w:color w:val="4F2D7F"/>
          <w:kern w:val="32"/>
          <w:lang w:val="en-GB"/>
        </w:rPr>
      </w:pPr>
    </w:p>
    <w:p w:rsidR="00526215" w:rsidRPr="00526215" w:rsidRDefault="00526215" w:rsidP="00526215">
      <w:pPr>
        <w:autoSpaceDE w:val="0"/>
        <w:autoSpaceDN w:val="0"/>
        <w:adjustRightInd w:val="0"/>
        <w:spacing w:after="0" w:line="300" w:lineRule="atLeast"/>
        <w:rPr>
          <w:rFonts w:ascii="Garamond" w:hAnsi="Garamond"/>
          <w:b/>
          <w:bCs/>
          <w:color w:val="234A12"/>
          <w:sz w:val="36"/>
          <w:szCs w:val="36"/>
          <w:shd w:val="clear" w:color="auto" w:fill="FFFFFF"/>
        </w:rPr>
      </w:pPr>
      <w:r w:rsidRPr="00526215">
        <w:rPr>
          <w:rFonts w:ascii="Garamond" w:hAnsi="Garamond"/>
          <w:b/>
          <w:bCs/>
          <w:color w:val="234A12"/>
          <w:sz w:val="36"/>
          <w:szCs w:val="36"/>
          <w:shd w:val="clear" w:color="auto" w:fill="FFFFFF"/>
        </w:rPr>
        <w:t>Annual Improvements to IFRS 2014-2016 Cycle</w:t>
      </w:r>
    </w:p>
    <w:p w:rsidR="00526215" w:rsidRDefault="00526215" w:rsidP="00583C94">
      <w:pPr>
        <w:autoSpaceDE w:val="0"/>
        <w:autoSpaceDN w:val="0"/>
        <w:adjustRightInd w:val="0"/>
        <w:spacing w:after="0" w:line="300" w:lineRule="atLeast"/>
        <w:rPr>
          <w:rFonts w:ascii="Arial Black" w:eastAsia="Times New Roman" w:hAnsi="Arial Black" w:cs="Arial"/>
          <w:bCs/>
          <w:color w:val="4F2D7F"/>
          <w:kern w:val="32"/>
          <w:lang w:val="en-GB"/>
        </w:rPr>
      </w:pPr>
    </w:p>
    <w:p w:rsidR="0018406E" w:rsidRDefault="00526215" w:rsidP="0018406E">
      <w:pPr>
        <w:autoSpaceDE w:val="0"/>
        <w:autoSpaceDN w:val="0"/>
        <w:adjustRightInd w:val="0"/>
        <w:spacing w:after="0" w:line="280" w:lineRule="atLeast"/>
        <w:rPr>
          <w:rFonts w:ascii="Garamond" w:hAnsi="Garamond" w:cs="Garamond"/>
          <w:color w:val="000000"/>
          <w:sz w:val="24"/>
          <w:szCs w:val="24"/>
        </w:rPr>
      </w:pPr>
      <w:r>
        <w:rPr>
          <w:rFonts w:ascii="Garamond" w:hAnsi="Garamond" w:cs="Garamond"/>
          <w:color w:val="000000"/>
          <w:sz w:val="24"/>
          <w:szCs w:val="24"/>
        </w:rPr>
        <w:t xml:space="preserve">The International Accounting Standards Board (IASB) has published ‘Annual Improvements to </w:t>
      </w:r>
      <w:r w:rsidR="0094036B">
        <w:rPr>
          <w:rFonts w:ascii="Garamond" w:hAnsi="Garamond" w:cs="Garamond"/>
          <w:color w:val="000000"/>
          <w:sz w:val="24"/>
          <w:szCs w:val="24"/>
        </w:rPr>
        <w:t>International Financial Reporting Standards (</w:t>
      </w:r>
      <w:r>
        <w:rPr>
          <w:rFonts w:ascii="Garamond" w:hAnsi="Garamond" w:cs="Garamond"/>
          <w:color w:val="000000"/>
          <w:sz w:val="24"/>
          <w:szCs w:val="24"/>
        </w:rPr>
        <w:t>IFRS</w:t>
      </w:r>
      <w:r w:rsidR="0094036B">
        <w:rPr>
          <w:rFonts w:ascii="Garamond" w:hAnsi="Garamond" w:cs="Garamond"/>
          <w:color w:val="000000"/>
          <w:sz w:val="24"/>
          <w:szCs w:val="24"/>
        </w:rPr>
        <w:t>)</w:t>
      </w:r>
      <w:r>
        <w:rPr>
          <w:rFonts w:ascii="Garamond" w:hAnsi="Garamond" w:cs="Garamond"/>
          <w:color w:val="000000"/>
          <w:sz w:val="24"/>
          <w:szCs w:val="24"/>
        </w:rPr>
        <w:t xml:space="preserve"> 2014-2016 Cycle’ which addresses non-urgent (but necessary) minor amendments to three standards, as described below.</w:t>
      </w:r>
      <w:r w:rsidR="0018406E" w:rsidRPr="0018406E">
        <w:rPr>
          <w:rFonts w:ascii="Garamond" w:hAnsi="Garamond" w:cs="Garamond"/>
          <w:color w:val="000000"/>
          <w:sz w:val="24"/>
          <w:szCs w:val="24"/>
        </w:rPr>
        <w:t xml:space="preserve"> </w:t>
      </w:r>
    </w:p>
    <w:p w:rsidR="00526215" w:rsidRDefault="00526215" w:rsidP="0018406E">
      <w:pPr>
        <w:autoSpaceDE w:val="0"/>
        <w:autoSpaceDN w:val="0"/>
        <w:adjustRightInd w:val="0"/>
        <w:spacing w:after="0" w:line="280" w:lineRule="atLeast"/>
        <w:rPr>
          <w:rFonts w:ascii="Garamond" w:hAnsi="Garamond" w:cs="Garamond"/>
          <w:color w:val="000000"/>
          <w:sz w:val="24"/>
          <w:szCs w:val="24"/>
        </w:rPr>
      </w:pPr>
    </w:p>
    <w:p w:rsidR="00526215" w:rsidRDefault="00526215" w:rsidP="0018406E">
      <w:pPr>
        <w:autoSpaceDE w:val="0"/>
        <w:autoSpaceDN w:val="0"/>
        <w:adjustRightInd w:val="0"/>
        <w:spacing w:after="0" w:line="280" w:lineRule="atLeast"/>
        <w:rPr>
          <w:rFonts w:ascii="Garamond" w:hAnsi="Garamond" w:cs="Garamond"/>
          <w:color w:val="000000"/>
          <w:sz w:val="24"/>
          <w:szCs w:val="24"/>
        </w:rPr>
      </w:pPr>
      <w:r>
        <w:rPr>
          <w:rFonts w:ascii="Garamond" w:hAnsi="Garamond" w:cs="Garamond"/>
          <w:color w:val="000000"/>
          <w:sz w:val="24"/>
          <w:szCs w:val="24"/>
        </w:rPr>
        <w:t>This publication is a collection of amendments to IFRS resulting from issues that were discussed by the IASB during the project cycle for making annual improvements that began in 2014 and which were included in an Exposure Draft published in November 2015.  The IASB uses the Annual Improvements process to make necessary, but non-urgent, amendments to IFRS that will not be included as part of any other project.  By presenting the amendments in a single document rather than as a series of piecemeal changes, the IASB aims to ease the burden of change for all concerned.  A summary of the issues addressed is set out below.</w:t>
      </w:r>
    </w:p>
    <w:p w:rsidR="00526215" w:rsidRDefault="00526215" w:rsidP="0018406E">
      <w:pPr>
        <w:autoSpaceDE w:val="0"/>
        <w:autoSpaceDN w:val="0"/>
        <w:adjustRightInd w:val="0"/>
        <w:spacing w:after="0" w:line="280" w:lineRule="atLeast"/>
        <w:rPr>
          <w:rFonts w:ascii="Garamond" w:hAnsi="Garamond" w:cs="Garamond"/>
          <w:color w:val="000000"/>
          <w:sz w:val="24"/>
          <w:szCs w:val="24"/>
        </w:rPr>
      </w:pPr>
    </w:p>
    <w:p w:rsidR="00526215" w:rsidRDefault="00526215" w:rsidP="0018406E">
      <w:pPr>
        <w:autoSpaceDE w:val="0"/>
        <w:autoSpaceDN w:val="0"/>
        <w:adjustRightInd w:val="0"/>
        <w:spacing w:after="0" w:line="280" w:lineRule="atLeast"/>
        <w:rPr>
          <w:noProof/>
        </w:rPr>
      </w:pPr>
      <w:r>
        <w:rPr>
          <w:noProof/>
        </w:rPr>
        <w:drawing>
          <wp:inline distT="0" distB="0" distL="0" distR="0" wp14:anchorId="360EC7E4" wp14:editId="2063B5A1">
            <wp:extent cx="6126480" cy="129159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6480" cy="1291590"/>
                    </a:xfrm>
                    <a:prstGeom prst="rect">
                      <a:avLst/>
                    </a:prstGeom>
                  </pic:spPr>
                </pic:pic>
              </a:graphicData>
            </a:graphic>
          </wp:inline>
        </w:drawing>
      </w:r>
    </w:p>
    <w:p w:rsidR="00526215" w:rsidRDefault="00526215" w:rsidP="0018406E">
      <w:pPr>
        <w:autoSpaceDE w:val="0"/>
        <w:autoSpaceDN w:val="0"/>
        <w:adjustRightInd w:val="0"/>
        <w:spacing w:after="0" w:line="280" w:lineRule="atLeast"/>
        <w:rPr>
          <w:noProof/>
        </w:rPr>
      </w:pPr>
    </w:p>
    <w:p w:rsidR="00526215" w:rsidRDefault="00526215" w:rsidP="0018406E">
      <w:pPr>
        <w:autoSpaceDE w:val="0"/>
        <w:autoSpaceDN w:val="0"/>
        <w:adjustRightInd w:val="0"/>
        <w:spacing w:after="0" w:line="280" w:lineRule="atLeast"/>
        <w:rPr>
          <w:rFonts w:ascii="Garamond" w:hAnsi="Garamond" w:cs="Garamond"/>
          <w:color w:val="000000"/>
          <w:sz w:val="24"/>
          <w:szCs w:val="24"/>
        </w:rPr>
      </w:pPr>
    </w:p>
    <w:p w:rsidR="0094036B" w:rsidRDefault="0094036B" w:rsidP="0018406E">
      <w:pPr>
        <w:autoSpaceDE w:val="0"/>
        <w:autoSpaceDN w:val="0"/>
        <w:adjustRightInd w:val="0"/>
        <w:spacing w:after="0" w:line="280" w:lineRule="atLeast"/>
        <w:rPr>
          <w:rFonts w:ascii="Garamond" w:hAnsi="Garamond" w:cs="Garamond"/>
          <w:color w:val="000000"/>
          <w:sz w:val="24"/>
          <w:szCs w:val="24"/>
        </w:rPr>
      </w:pPr>
    </w:p>
    <w:p w:rsidR="0094036B" w:rsidRPr="0018406E" w:rsidRDefault="0094036B" w:rsidP="0018406E">
      <w:pPr>
        <w:autoSpaceDE w:val="0"/>
        <w:autoSpaceDN w:val="0"/>
        <w:adjustRightInd w:val="0"/>
        <w:spacing w:after="0" w:line="280" w:lineRule="atLeast"/>
        <w:rPr>
          <w:rFonts w:ascii="Garamond" w:hAnsi="Garamond" w:cs="Garamond"/>
          <w:color w:val="000000"/>
          <w:sz w:val="24"/>
          <w:szCs w:val="24"/>
        </w:rPr>
      </w:pPr>
      <w:r>
        <w:rPr>
          <w:noProof/>
        </w:rPr>
        <w:lastRenderedPageBreak/>
        <w:drawing>
          <wp:inline distT="0" distB="0" distL="0" distR="0" wp14:anchorId="44AC4302" wp14:editId="3B6CAC36">
            <wp:extent cx="6126480" cy="199199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6480" cy="1991995"/>
                    </a:xfrm>
                    <a:prstGeom prst="rect">
                      <a:avLst/>
                    </a:prstGeom>
                  </pic:spPr>
                </pic:pic>
              </a:graphicData>
            </a:graphic>
          </wp:inline>
        </w:drawing>
      </w:r>
    </w:p>
    <w:p w:rsidR="00583C94" w:rsidRPr="0094036B" w:rsidRDefault="00583C94" w:rsidP="00583C94">
      <w:pPr>
        <w:autoSpaceDE w:val="0"/>
        <w:autoSpaceDN w:val="0"/>
        <w:adjustRightInd w:val="0"/>
        <w:spacing w:after="0" w:line="240" w:lineRule="auto"/>
        <w:rPr>
          <w:sz w:val="24"/>
          <w:szCs w:val="24"/>
        </w:rPr>
      </w:pPr>
    </w:p>
    <w:p w:rsidR="00AD492B" w:rsidRDefault="00526215" w:rsidP="0018406E">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Effective dates</w:t>
      </w:r>
    </w:p>
    <w:p w:rsidR="0018406E" w:rsidRPr="0094036B" w:rsidRDefault="0094036B" w:rsidP="0018406E">
      <w:pPr>
        <w:pStyle w:val="BodyText"/>
        <w:rPr>
          <w:rFonts w:ascii="Garamond" w:hAnsi="Garamond" w:cs="Garamond"/>
          <w:bCs/>
          <w:color w:val="000000"/>
          <w:sz w:val="24"/>
          <w:szCs w:val="24"/>
        </w:rPr>
      </w:pPr>
      <w:r w:rsidRPr="0094036B">
        <w:rPr>
          <w:rFonts w:ascii="Garamond" w:hAnsi="Garamond" w:cs="Garamond"/>
          <w:bCs/>
          <w:color w:val="000000"/>
          <w:sz w:val="24"/>
          <w:szCs w:val="24"/>
        </w:rPr>
        <w:t>The amendments are effective as follows:</w:t>
      </w:r>
    </w:p>
    <w:p w:rsidR="0094036B" w:rsidRPr="0094036B" w:rsidRDefault="0094036B" w:rsidP="0094036B">
      <w:pPr>
        <w:pStyle w:val="BodyText"/>
        <w:numPr>
          <w:ilvl w:val="0"/>
          <w:numId w:val="27"/>
        </w:numPr>
        <w:rPr>
          <w:rFonts w:ascii="Garamond" w:hAnsi="Garamond" w:cs="Garamond"/>
          <w:bCs/>
          <w:color w:val="000000"/>
          <w:sz w:val="24"/>
          <w:szCs w:val="24"/>
        </w:rPr>
      </w:pPr>
      <w:r w:rsidRPr="0094036B">
        <w:rPr>
          <w:rFonts w:ascii="Garamond" w:hAnsi="Garamond" w:cs="Garamond"/>
          <w:bCs/>
          <w:color w:val="000000"/>
          <w:sz w:val="24"/>
          <w:szCs w:val="24"/>
        </w:rPr>
        <w:t xml:space="preserve">IFRS 1, </w:t>
      </w:r>
      <w:r w:rsidRPr="0094036B">
        <w:rPr>
          <w:rFonts w:ascii="Garamond" w:hAnsi="Garamond" w:cs="Garamond"/>
          <w:bCs/>
          <w:i/>
          <w:color w:val="000000"/>
          <w:sz w:val="24"/>
          <w:szCs w:val="24"/>
        </w:rPr>
        <w:t>First-time Adoption of IFRS</w:t>
      </w:r>
      <w:r w:rsidRPr="0094036B">
        <w:rPr>
          <w:rFonts w:ascii="Garamond" w:hAnsi="Garamond" w:cs="Garamond"/>
          <w:bCs/>
          <w:color w:val="000000"/>
          <w:sz w:val="24"/>
          <w:szCs w:val="24"/>
        </w:rPr>
        <w:t xml:space="preserve"> – for annual periods beginning on or after January 1, 2018</w:t>
      </w:r>
    </w:p>
    <w:p w:rsidR="0094036B" w:rsidRPr="0094036B" w:rsidRDefault="0094036B" w:rsidP="0094036B">
      <w:pPr>
        <w:pStyle w:val="BodyText"/>
        <w:numPr>
          <w:ilvl w:val="0"/>
          <w:numId w:val="27"/>
        </w:numPr>
        <w:rPr>
          <w:rFonts w:ascii="Garamond" w:hAnsi="Garamond" w:cs="Garamond"/>
          <w:bCs/>
          <w:color w:val="000000"/>
          <w:sz w:val="24"/>
          <w:szCs w:val="24"/>
        </w:rPr>
      </w:pPr>
      <w:r w:rsidRPr="0094036B">
        <w:rPr>
          <w:rFonts w:ascii="Garamond" w:hAnsi="Garamond" w:cs="Garamond"/>
          <w:bCs/>
          <w:color w:val="000000"/>
          <w:sz w:val="24"/>
          <w:szCs w:val="24"/>
        </w:rPr>
        <w:t xml:space="preserve">IFRS 12, </w:t>
      </w:r>
      <w:r w:rsidRPr="0094036B">
        <w:rPr>
          <w:rFonts w:ascii="Garamond" w:hAnsi="Garamond" w:cs="Garamond"/>
          <w:bCs/>
          <w:i/>
          <w:color w:val="000000"/>
          <w:sz w:val="24"/>
          <w:szCs w:val="24"/>
        </w:rPr>
        <w:t>Disclosures of Other Entities</w:t>
      </w:r>
      <w:r w:rsidRPr="0094036B">
        <w:rPr>
          <w:rFonts w:ascii="Garamond" w:hAnsi="Garamond" w:cs="Garamond"/>
          <w:bCs/>
          <w:color w:val="000000"/>
          <w:sz w:val="24"/>
          <w:szCs w:val="24"/>
        </w:rPr>
        <w:t xml:space="preserve"> – retrospectively in accordance with IAS 8, </w:t>
      </w:r>
      <w:r w:rsidRPr="0094036B">
        <w:rPr>
          <w:rFonts w:ascii="Garamond" w:hAnsi="Garamond" w:cs="Garamond"/>
          <w:bCs/>
          <w:i/>
          <w:color w:val="000000"/>
          <w:sz w:val="24"/>
          <w:szCs w:val="24"/>
        </w:rPr>
        <w:t>Accounting Policies, Changes in Accounting Estimates and Errors</w:t>
      </w:r>
      <w:r w:rsidRPr="0094036B">
        <w:rPr>
          <w:rFonts w:ascii="Garamond" w:hAnsi="Garamond" w:cs="Garamond"/>
          <w:bCs/>
          <w:color w:val="000000"/>
          <w:sz w:val="24"/>
          <w:szCs w:val="24"/>
        </w:rPr>
        <w:t>, for annual periods beginning on or after January 1, 2017</w:t>
      </w:r>
    </w:p>
    <w:p w:rsidR="0094036B" w:rsidRPr="0094036B" w:rsidRDefault="0094036B" w:rsidP="0094036B">
      <w:pPr>
        <w:pStyle w:val="BodyText"/>
        <w:numPr>
          <w:ilvl w:val="0"/>
          <w:numId w:val="27"/>
        </w:numPr>
        <w:rPr>
          <w:rFonts w:ascii="Garamond" w:hAnsi="Garamond" w:cs="Garamond"/>
          <w:bCs/>
          <w:color w:val="000000"/>
          <w:sz w:val="24"/>
          <w:szCs w:val="24"/>
        </w:rPr>
      </w:pPr>
      <w:r w:rsidRPr="0094036B">
        <w:rPr>
          <w:rFonts w:ascii="Garamond" w:hAnsi="Garamond" w:cs="Garamond"/>
          <w:bCs/>
          <w:color w:val="000000"/>
          <w:sz w:val="24"/>
          <w:szCs w:val="24"/>
        </w:rPr>
        <w:t xml:space="preserve">IAS 28, </w:t>
      </w:r>
      <w:r w:rsidRPr="0094036B">
        <w:rPr>
          <w:rFonts w:ascii="Garamond" w:hAnsi="Garamond" w:cs="Garamond"/>
          <w:bCs/>
          <w:i/>
          <w:color w:val="000000"/>
          <w:sz w:val="24"/>
          <w:szCs w:val="24"/>
        </w:rPr>
        <w:t>Investments in Associates and Joint Ventures</w:t>
      </w:r>
      <w:r w:rsidRPr="0094036B">
        <w:rPr>
          <w:rFonts w:ascii="Garamond" w:hAnsi="Garamond" w:cs="Garamond"/>
          <w:bCs/>
          <w:color w:val="000000"/>
          <w:sz w:val="24"/>
          <w:szCs w:val="24"/>
        </w:rPr>
        <w:t xml:space="preserve"> – retrospectively in accordance with IAS 8 for annual periods beginning on or after January 1, 2018; however, early application is permitted</w:t>
      </w:r>
    </w:p>
    <w:p w:rsidR="0094036B" w:rsidRPr="0094036B" w:rsidRDefault="0094036B" w:rsidP="0094036B">
      <w:pPr>
        <w:autoSpaceDE w:val="0"/>
        <w:autoSpaceDN w:val="0"/>
        <w:adjustRightInd w:val="0"/>
        <w:spacing w:after="0" w:line="280" w:lineRule="atLeast"/>
        <w:rPr>
          <w:rFonts w:ascii="Garamond" w:hAnsi="Garamond" w:cs="Garamond"/>
          <w:color w:val="000000"/>
          <w:sz w:val="21"/>
          <w:szCs w:val="21"/>
        </w:rPr>
      </w:pPr>
      <w:r>
        <w:rPr>
          <w:noProof/>
        </w:rPr>
        <w:drawing>
          <wp:inline distT="0" distB="0" distL="0" distR="0" wp14:anchorId="6D2683DB" wp14:editId="799D5846">
            <wp:extent cx="6141346" cy="8767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7310" cy="91473"/>
                    </a:xfrm>
                    <a:prstGeom prst="rect">
                      <a:avLst/>
                    </a:prstGeom>
                  </pic:spPr>
                </pic:pic>
              </a:graphicData>
            </a:graphic>
          </wp:inline>
        </w:drawing>
      </w:r>
    </w:p>
    <w:p w:rsidR="0094036B" w:rsidRPr="0094036B" w:rsidRDefault="0094036B" w:rsidP="0094036B">
      <w:pPr>
        <w:autoSpaceDE w:val="0"/>
        <w:autoSpaceDN w:val="0"/>
        <w:adjustRightInd w:val="0"/>
        <w:spacing w:after="0" w:line="300" w:lineRule="atLeast"/>
        <w:rPr>
          <w:rFonts w:ascii="Arial Black" w:eastAsia="Times New Roman" w:hAnsi="Arial Black" w:cs="Arial"/>
          <w:bCs/>
          <w:color w:val="4F2D7F"/>
          <w:kern w:val="32"/>
          <w:lang w:val="en-GB"/>
        </w:rPr>
      </w:pPr>
    </w:p>
    <w:p w:rsidR="0094036B" w:rsidRPr="0094036B" w:rsidRDefault="0094036B" w:rsidP="0094036B">
      <w:pPr>
        <w:autoSpaceDE w:val="0"/>
        <w:autoSpaceDN w:val="0"/>
        <w:adjustRightInd w:val="0"/>
        <w:spacing w:after="0" w:line="300" w:lineRule="atLeast"/>
        <w:rPr>
          <w:rFonts w:ascii="Garamond" w:hAnsi="Garamond"/>
          <w:b/>
          <w:bCs/>
          <w:color w:val="234A12"/>
          <w:sz w:val="36"/>
          <w:szCs w:val="36"/>
          <w:shd w:val="clear" w:color="auto" w:fill="FFFFFF"/>
        </w:rPr>
      </w:pPr>
      <w:r>
        <w:rPr>
          <w:rFonts w:ascii="Garamond" w:hAnsi="Garamond"/>
          <w:b/>
          <w:bCs/>
          <w:color w:val="234A12"/>
          <w:sz w:val="36"/>
          <w:szCs w:val="36"/>
          <w:shd w:val="clear" w:color="auto" w:fill="FFFFFF"/>
        </w:rPr>
        <w:t>Transfers of Investment Property</w:t>
      </w:r>
    </w:p>
    <w:p w:rsidR="0094036B" w:rsidRDefault="0094036B" w:rsidP="0094036B">
      <w:pPr>
        <w:pStyle w:val="BodyText"/>
        <w:rPr>
          <w:rFonts w:ascii="Garamond" w:hAnsi="Garamond" w:cs="Garamond"/>
          <w:bCs/>
          <w:color w:val="000000"/>
          <w:sz w:val="21"/>
          <w:szCs w:val="21"/>
        </w:rPr>
      </w:pPr>
    </w:p>
    <w:p w:rsidR="0094036B" w:rsidRDefault="0094036B" w:rsidP="0094036B">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Introduction</w:t>
      </w:r>
    </w:p>
    <w:p w:rsidR="0094036B" w:rsidRPr="0094036B" w:rsidRDefault="0094036B" w:rsidP="0094036B">
      <w:pPr>
        <w:pStyle w:val="BodyText"/>
        <w:rPr>
          <w:rFonts w:ascii="Garamond" w:hAnsi="Garamond" w:cs="Garamond"/>
          <w:bCs/>
          <w:color w:val="000000"/>
          <w:sz w:val="24"/>
          <w:szCs w:val="24"/>
        </w:rPr>
      </w:pPr>
      <w:r w:rsidRPr="0094036B">
        <w:rPr>
          <w:rFonts w:ascii="Garamond" w:hAnsi="Garamond" w:cs="Garamond"/>
          <w:bCs/>
          <w:color w:val="000000"/>
          <w:sz w:val="24"/>
          <w:szCs w:val="24"/>
        </w:rPr>
        <w:t xml:space="preserve">The IASB has published ‘Transfers of Investment Property (Amendments to IAS 40)’ which clarifies that transfers to, or from, investment property </w:t>
      </w:r>
      <w:proofErr w:type="gramStart"/>
      <w:r w:rsidRPr="0094036B">
        <w:rPr>
          <w:rFonts w:ascii="Garamond" w:hAnsi="Garamond" w:cs="Garamond"/>
          <w:bCs/>
          <w:color w:val="000000"/>
          <w:sz w:val="24"/>
          <w:szCs w:val="24"/>
        </w:rPr>
        <w:t>are</w:t>
      </w:r>
      <w:proofErr w:type="gramEnd"/>
      <w:r w:rsidRPr="0094036B">
        <w:rPr>
          <w:rFonts w:ascii="Garamond" w:hAnsi="Garamond" w:cs="Garamond"/>
          <w:bCs/>
          <w:color w:val="000000"/>
          <w:sz w:val="24"/>
          <w:szCs w:val="24"/>
        </w:rPr>
        <w:t xml:space="preserve"> required when, and only when, there is a change in use of property supported by evidence.</w:t>
      </w:r>
    </w:p>
    <w:p w:rsidR="0094036B" w:rsidRDefault="0094036B" w:rsidP="0094036B">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The amendments</w:t>
      </w:r>
    </w:p>
    <w:p w:rsidR="0094036B" w:rsidRDefault="009921E8" w:rsidP="0094036B">
      <w:pPr>
        <w:pStyle w:val="BodyText"/>
        <w:rPr>
          <w:rFonts w:ascii="Garamond" w:hAnsi="Garamond" w:cs="Garamond"/>
          <w:bCs/>
          <w:color w:val="000000"/>
          <w:sz w:val="24"/>
          <w:szCs w:val="24"/>
        </w:rPr>
      </w:pPr>
      <w:r>
        <w:rPr>
          <w:rFonts w:ascii="Garamond" w:hAnsi="Garamond" w:cs="Garamond"/>
          <w:bCs/>
          <w:color w:val="000000"/>
          <w:sz w:val="24"/>
          <w:szCs w:val="24"/>
        </w:rPr>
        <w:t>In addition to clarifying the above-noted principle, the amendments also re-characterize the list of circumstances appearing in paragraph 57(a)-(d) as a non-exhaustive list of examples of evidence that a change in use has occurred.  The IASB has also clarified that a change in management’s intent, by itself, does not provide sufficient evidence that a change in use has occurred.  Evidence of a change in use must be observable.</w:t>
      </w:r>
    </w:p>
    <w:p w:rsidR="009921E8" w:rsidRDefault="009921E8">
      <w:pPr>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br w:type="page"/>
      </w:r>
    </w:p>
    <w:p w:rsidR="009921E8" w:rsidRDefault="009921E8" w:rsidP="009921E8">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lastRenderedPageBreak/>
        <w:t>Effective date and transition</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The amendments are effective for accounting periods on or after January 1, 2018; however, early application is permitted.  The amendments contain transitional provisions, the default being prospective application; however, retrospective application is permitted, provided that it is possible without the use of hindsight.</w:t>
      </w:r>
    </w:p>
    <w:p w:rsidR="009921E8" w:rsidRPr="0094036B" w:rsidRDefault="009921E8" w:rsidP="009921E8">
      <w:pPr>
        <w:autoSpaceDE w:val="0"/>
        <w:autoSpaceDN w:val="0"/>
        <w:adjustRightInd w:val="0"/>
        <w:spacing w:after="0" w:line="280" w:lineRule="atLeast"/>
        <w:rPr>
          <w:rFonts w:ascii="Garamond" w:hAnsi="Garamond" w:cs="Garamond"/>
          <w:color w:val="000000"/>
          <w:sz w:val="21"/>
          <w:szCs w:val="21"/>
        </w:rPr>
      </w:pPr>
      <w:r>
        <w:rPr>
          <w:noProof/>
        </w:rPr>
        <w:drawing>
          <wp:inline distT="0" distB="0" distL="0" distR="0" wp14:anchorId="579B1F49" wp14:editId="750C1E70">
            <wp:extent cx="6141346" cy="8767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7310" cy="91473"/>
                    </a:xfrm>
                    <a:prstGeom prst="rect">
                      <a:avLst/>
                    </a:prstGeom>
                  </pic:spPr>
                </pic:pic>
              </a:graphicData>
            </a:graphic>
          </wp:inline>
        </w:drawing>
      </w:r>
    </w:p>
    <w:p w:rsidR="009921E8" w:rsidRPr="0094036B" w:rsidRDefault="009921E8" w:rsidP="009921E8">
      <w:pPr>
        <w:autoSpaceDE w:val="0"/>
        <w:autoSpaceDN w:val="0"/>
        <w:adjustRightInd w:val="0"/>
        <w:spacing w:after="0" w:line="300" w:lineRule="atLeast"/>
        <w:rPr>
          <w:rFonts w:ascii="Arial Black" w:eastAsia="Times New Roman" w:hAnsi="Arial Black" w:cs="Arial"/>
          <w:bCs/>
          <w:color w:val="4F2D7F"/>
          <w:kern w:val="32"/>
          <w:lang w:val="en-GB"/>
        </w:rPr>
      </w:pPr>
    </w:p>
    <w:p w:rsidR="009921E8" w:rsidRPr="0094036B" w:rsidRDefault="009921E8" w:rsidP="009921E8">
      <w:pPr>
        <w:autoSpaceDE w:val="0"/>
        <w:autoSpaceDN w:val="0"/>
        <w:adjustRightInd w:val="0"/>
        <w:spacing w:after="0" w:line="300" w:lineRule="atLeast"/>
        <w:rPr>
          <w:rFonts w:ascii="Garamond" w:hAnsi="Garamond"/>
          <w:b/>
          <w:bCs/>
          <w:color w:val="234A12"/>
          <w:sz w:val="36"/>
          <w:szCs w:val="36"/>
          <w:shd w:val="clear" w:color="auto" w:fill="FFFFFF"/>
        </w:rPr>
      </w:pPr>
      <w:r>
        <w:rPr>
          <w:rFonts w:ascii="Garamond" w:hAnsi="Garamond"/>
          <w:b/>
          <w:bCs/>
          <w:color w:val="234A12"/>
          <w:sz w:val="36"/>
          <w:szCs w:val="36"/>
          <w:shd w:val="clear" w:color="auto" w:fill="FFFFFF"/>
        </w:rPr>
        <w:t xml:space="preserve">IFRIC 22, </w:t>
      </w:r>
      <w:r w:rsidRPr="009921E8">
        <w:rPr>
          <w:rFonts w:ascii="Garamond" w:hAnsi="Garamond"/>
          <w:b/>
          <w:bCs/>
          <w:i/>
          <w:color w:val="234A12"/>
          <w:sz w:val="36"/>
          <w:szCs w:val="36"/>
          <w:shd w:val="clear" w:color="auto" w:fill="FFFFFF"/>
        </w:rPr>
        <w:t>Foreign Currency Transactions and Advance Consideration</w:t>
      </w:r>
    </w:p>
    <w:p w:rsidR="009921E8" w:rsidRDefault="009921E8" w:rsidP="009921E8">
      <w:pPr>
        <w:pStyle w:val="BodyText"/>
        <w:rPr>
          <w:rFonts w:ascii="Garamond" w:hAnsi="Garamond" w:cs="Garamond"/>
          <w:bCs/>
          <w:color w:val="000000"/>
          <w:sz w:val="21"/>
          <w:szCs w:val="21"/>
        </w:rPr>
      </w:pPr>
    </w:p>
    <w:p w:rsidR="009921E8" w:rsidRDefault="009921E8" w:rsidP="009921E8">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Executive summary</w:t>
      </w:r>
    </w:p>
    <w:p w:rsidR="009921E8" w:rsidRPr="009921E8" w:rsidRDefault="009921E8" w:rsidP="0094036B">
      <w:pPr>
        <w:pStyle w:val="BodyText"/>
        <w:rPr>
          <w:rFonts w:ascii="Garamond" w:hAnsi="Garamond" w:cs="Garamond"/>
          <w:bCs/>
          <w:i/>
          <w:color w:val="000000"/>
          <w:sz w:val="24"/>
          <w:szCs w:val="24"/>
        </w:rPr>
      </w:pPr>
      <w:r>
        <w:rPr>
          <w:rFonts w:ascii="Garamond" w:hAnsi="Garamond" w:cs="Garamond"/>
          <w:bCs/>
          <w:color w:val="000000"/>
          <w:sz w:val="24"/>
          <w:szCs w:val="24"/>
        </w:rPr>
        <w:t xml:space="preserve">The IFRS Interpretation Committee (IFRIC) has issued ‘IFRIC 22, </w:t>
      </w:r>
      <w:r w:rsidRPr="009921E8">
        <w:rPr>
          <w:rFonts w:ascii="Garamond" w:hAnsi="Garamond" w:cs="Garamond"/>
          <w:bCs/>
          <w:i/>
          <w:color w:val="000000"/>
          <w:sz w:val="24"/>
          <w:szCs w:val="24"/>
        </w:rPr>
        <w:t>Foreign Currency Transactions and Advance Consideration</w:t>
      </w:r>
      <w:r>
        <w:rPr>
          <w:rFonts w:ascii="Garamond" w:hAnsi="Garamond" w:cs="Garamond"/>
          <w:bCs/>
          <w:color w:val="000000"/>
          <w:sz w:val="24"/>
          <w:szCs w:val="24"/>
        </w:rPr>
        <w:t>.</w:t>
      </w:r>
      <w:r w:rsidRPr="009921E8">
        <w:rPr>
          <w:rFonts w:ascii="Garamond" w:hAnsi="Garamond" w:cs="Garamond"/>
          <w:bCs/>
          <w:color w:val="000000"/>
          <w:sz w:val="24"/>
          <w:szCs w:val="24"/>
        </w:rPr>
        <w:t>’</w:t>
      </w:r>
      <w:r>
        <w:rPr>
          <w:rFonts w:ascii="Garamond" w:hAnsi="Garamond" w:cs="Garamond"/>
          <w:bCs/>
          <w:color w:val="000000"/>
          <w:sz w:val="24"/>
          <w:szCs w:val="24"/>
        </w:rPr>
        <w:t xml:space="preserve">  It looks at what exchange rate to use for translation when payments are made or received in advance of the related asset, expense or income.</w:t>
      </w:r>
    </w:p>
    <w:p w:rsidR="009921E8" w:rsidRDefault="009921E8" w:rsidP="009921E8">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Background</w:t>
      </w:r>
    </w:p>
    <w:p w:rsidR="0094036B"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 xml:space="preserve">Although IAS 21, </w:t>
      </w:r>
      <w:r w:rsidRPr="009921E8">
        <w:rPr>
          <w:rFonts w:ascii="Garamond" w:hAnsi="Garamond" w:cs="Garamond"/>
          <w:bCs/>
          <w:i/>
          <w:color w:val="000000"/>
          <w:sz w:val="24"/>
          <w:szCs w:val="24"/>
        </w:rPr>
        <w:t>The Effects of Changes in Foreign Exchange Rates</w:t>
      </w:r>
      <w:r>
        <w:rPr>
          <w:rFonts w:ascii="Garamond" w:hAnsi="Garamond" w:cs="Garamond"/>
          <w:bCs/>
          <w:color w:val="000000"/>
          <w:sz w:val="24"/>
          <w:szCs w:val="24"/>
        </w:rPr>
        <w:t>, sets out requirements about which exchange rate to use when recording a foreign currency transaction on initial recognition in an entity’s functional currency, IFRIC had observed diversity in practice in circumstances in which an entity recognizes a non-monetary liability arising from advance consideration.  The diversity resulted from the fact that some entities were recognizing revenue using the spot exchange rate at the date of the receipt of the advance consideration while others were using the spot exchange rate at the date that revenue is recognized.</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In carrying out their analysis of the issue, IFRIC noted that the issue was not restricted to just revenue transactions.  For example, the same issue arises for transactions such as a sale of property, plant and equipment or the purchase of services when consideration is denominated in a foreign currency and is paid or received in advance.</w:t>
      </w:r>
    </w:p>
    <w:p w:rsidR="009921E8" w:rsidRDefault="009921E8" w:rsidP="009921E8">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Action taken</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IFRIC 22 addresses this issue by clarifying that the date of the transaction for the purpose of determining the exchange rate to use on initial recognition of the related asset, expense or income (or part of it) is the date on which an entity initially recognizes the non-monetary asset or non-monetary liability arising from the payment or receipt of advance consideration.</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If there are multiple payments or receipts in advance, the entity shall determine a date of the transaction for each payment or receipt of advance consideration.</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Illustrative examples in the Interpretation demonstrate the application of this consensus.</w:t>
      </w:r>
    </w:p>
    <w:p w:rsidR="009921E8" w:rsidRDefault="009921E8">
      <w:pPr>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br w:type="page"/>
      </w:r>
    </w:p>
    <w:p w:rsidR="009921E8" w:rsidRDefault="009921E8" w:rsidP="009921E8">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lastRenderedPageBreak/>
        <w:t>Effective date</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 xml:space="preserve">IFRIC 22 </w:t>
      </w:r>
      <w:r>
        <w:rPr>
          <w:rFonts w:ascii="Garamond" w:hAnsi="Garamond" w:cs="Garamond"/>
          <w:bCs/>
          <w:color w:val="000000"/>
          <w:sz w:val="24"/>
          <w:szCs w:val="24"/>
        </w:rPr>
        <w:t>is effective for annual reporting periods beginning on or after January 1, 2018.  Earlier application is permitted.</w:t>
      </w:r>
    </w:p>
    <w:p w:rsidR="009921E8" w:rsidRDefault="009921E8" w:rsidP="009921E8">
      <w:pPr>
        <w:autoSpaceDE w:val="0"/>
        <w:autoSpaceDN w:val="0"/>
        <w:adjustRightInd w:val="0"/>
        <w:spacing w:after="240" w:line="240" w:lineRule="auto"/>
        <w:rPr>
          <w:rFonts w:ascii="Arial Black" w:eastAsia="Times New Roman" w:hAnsi="Arial Black" w:cs="Arial"/>
          <w:bCs/>
          <w:color w:val="4F2D7F"/>
          <w:kern w:val="32"/>
          <w:lang w:val="en-GB"/>
        </w:rPr>
      </w:pPr>
      <w:r>
        <w:rPr>
          <w:rFonts w:ascii="Arial Black" w:eastAsia="Times New Roman" w:hAnsi="Arial Black" w:cs="Arial"/>
          <w:bCs/>
          <w:color w:val="4F2D7F"/>
          <w:kern w:val="32"/>
          <w:lang w:val="en-GB"/>
        </w:rPr>
        <w:t>Transition</w:t>
      </w:r>
    </w:p>
    <w:p w:rsidR="009921E8" w:rsidRDefault="009921E8" w:rsidP="009921E8">
      <w:pPr>
        <w:pStyle w:val="BodyText"/>
        <w:rPr>
          <w:rFonts w:ascii="Garamond" w:hAnsi="Garamond" w:cs="Garamond"/>
          <w:bCs/>
          <w:color w:val="000000"/>
          <w:sz w:val="24"/>
          <w:szCs w:val="24"/>
        </w:rPr>
      </w:pPr>
      <w:r>
        <w:rPr>
          <w:rFonts w:ascii="Garamond" w:hAnsi="Garamond" w:cs="Garamond"/>
          <w:bCs/>
          <w:color w:val="000000"/>
          <w:sz w:val="24"/>
          <w:szCs w:val="24"/>
        </w:rPr>
        <w:t>On initial application, entities have the choice of applying the Interpretation either retrospectively or, alternatively, prospectively to all assets, expenses and income in the scope of the Interpretation initially recognized on or after:</w:t>
      </w:r>
    </w:p>
    <w:p w:rsidR="009921E8" w:rsidRDefault="009921E8" w:rsidP="009921E8">
      <w:pPr>
        <w:pStyle w:val="BodyText"/>
        <w:numPr>
          <w:ilvl w:val="0"/>
          <w:numId w:val="28"/>
        </w:numPr>
        <w:rPr>
          <w:rFonts w:ascii="Garamond" w:hAnsi="Garamond" w:cs="Garamond"/>
          <w:bCs/>
          <w:color w:val="000000"/>
          <w:sz w:val="24"/>
          <w:szCs w:val="24"/>
        </w:rPr>
      </w:pPr>
      <w:r>
        <w:rPr>
          <w:rFonts w:ascii="Garamond" w:hAnsi="Garamond" w:cs="Garamond"/>
          <w:bCs/>
          <w:color w:val="000000"/>
          <w:sz w:val="24"/>
          <w:szCs w:val="24"/>
        </w:rPr>
        <w:t>t</w:t>
      </w:r>
      <w:r w:rsidRPr="009921E8">
        <w:rPr>
          <w:rFonts w:ascii="Garamond" w:hAnsi="Garamond" w:cs="Garamond"/>
          <w:bCs/>
          <w:color w:val="000000"/>
          <w:sz w:val="24"/>
          <w:szCs w:val="24"/>
        </w:rPr>
        <w:t>he be</w:t>
      </w:r>
      <w:r>
        <w:rPr>
          <w:rFonts w:ascii="Garamond" w:hAnsi="Garamond" w:cs="Garamond"/>
          <w:bCs/>
          <w:color w:val="000000"/>
          <w:sz w:val="24"/>
          <w:szCs w:val="24"/>
        </w:rPr>
        <w:t>ginning of the reporting period in which the entity first applies the Interpretation; or</w:t>
      </w:r>
    </w:p>
    <w:p w:rsidR="009921E8" w:rsidRDefault="009921E8" w:rsidP="009921E8">
      <w:pPr>
        <w:pStyle w:val="BodyText"/>
        <w:numPr>
          <w:ilvl w:val="0"/>
          <w:numId w:val="28"/>
        </w:numPr>
        <w:rPr>
          <w:rFonts w:ascii="Garamond" w:hAnsi="Garamond" w:cs="Garamond"/>
          <w:bCs/>
          <w:color w:val="000000"/>
          <w:sz w:val="24"/>
          <w:szCs w:val="24"/>
        </w:rPr>
      </w:pPr>
      <w:r>
        <w:rPr>
          <w:rFonts w:ascii="Garamond" w:hAnsi="Garamond" w:cs="Garamond"/>
          <w:bCs/>
          <w:color w:val="000000"/>
          <w:sz w:val="24"/>
          <w:szCs w:val="24"/>
        </w:rPr>
        <w:t>the beginning of a prior reporting period presented as comparative information in the financial statements of the reporting period in which the entity first applies the Interpretation.</w:t>
      </w:r>
    </w:p>
    <w:p w:rsidR="009921E8" w:rsidRPr="009921E8" w:rsidRDefault="009921E8" w:rsidP="009921E8">
      <w:pPr>
        <w:pStyle w:val="BodyText"/>
        <w:jc w:val="center"/>
        <w:rPr>
          <w:rFonts w:ascii="Garamond" w:hAnsi="Garamond" w:cs="Garamond"/>
          <w:bCs/>
          <w:color w:val="000000"/>
          <w:sz w:val="24"/>
          <w:szCs w:val="24"/>
        </w:rPr>
      </w:pPr>
      <w:r>
        <w:rPr>
          <w:noProof/>
        </w:rPr>
        <w:drawing>
          <wp:inline distT="0" distB="0" distL="0" distR="0" wp14:anchorId="078033BF" wp14:editId="60B05005">
            <wp:extent cx="3447619" cy="223809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7619" cy="2238095"/>
                    </a:xfrm>
                    <a:prstGeom prst="rect">
                      <a:avLst/>
                    </a:prstGeom>
                  </pic:spPr>
                </pic:pic>
              </a:graphicData>
            </a:graphic>
          </wp:inline>
        </w:drawing>
      </w:r>
    </w:p>
    <w:p w:rsidR="00D72609" w:rsidRDefault="00D72609" w:rsidP="00D72609">
      <w:pPr>
        <w:autoSpaceDE w:val="0"/>
        <w:autoSpaceDN w:val="0"/>
        <w:adjustRightInd w:val="0"/>
        <w:spacing w:after="0" w:line="300" w:lineRule="atLeast"/>
        <w:rPr>
          <w:rFonts w:ascii="Garamond" w:hAnsi="Garamond" w:cs="Garamond"/>
          <w:color w:val="000000"/>
        </w:rPr>
      </w:pPr>
      <w:bookmarkStart w:id="0" w:name="_GoBack"/>
      <w:bookmarkEnd w:id="0"/>
    </w:p>
    <w:p w:rsidR="00214BA9" w:rsidRPr="00416F58" w:rsidRDefault="00E468C3" w:rsidP="00214BA9">
      <w:pPr>
        <w:pStyle w:val="Line"/>
        <w:rPr>
          <w:rFonts w:ascii="Garamond" w:hAnsi="Garamond"/>
          <w:sz w:val="20"/>
        </w:rPr>
      </w:pPr>
      <w:r w:rsidRPr="007361AC">
        <w:rPr>
          <w:rFonts w:ascii="Garamond" w:hAnsi="Garamond"/>
          <w:sz w:val="20"/>
        </w:rPr>
        <w:t xml:space="preserve">P&amp;A Accounting Alerts are issued to keep our clients updated with the latest developments in financial reporting.  These are not intended to be a substitute for professional advice.  If you would like to unsubscribe, or add a colleague or a friend to our mailing list, please let us know by return e-mail.  For inquiries and suggestions on how the Accounting Alert may be even more useful to you, e-mail </w:t>
      </w:r>
      <w:hyperlink r:id="rId13" w:history="1">
        <w:r w:rsidRPr="00992453">
          <w:rPr>
            <w:rStyle w:val="Hyperlink"/>
            <w:rFonts w:ascii="Garamond" w:hAnsi="Garamond"/>
            <w:sz w:val="20"/>
          </w:rPr>
          <w:t>Mabel.Comedia@ph.gt.com</w:t>
        </w:r>
      </w:hyperlink>
      <w:r>
        <w:rPr>
          <w:rFonts w:ascii="Garamond" w:hAnsi="Garamond"/>
          <w:sz w:val="20"/>
        </w:rPr>
        <w:t xml:space="preserve"> </w:t>
      </w:r>
      <w:r w:rsidRPr="007361AC">
        <w:rPr>
          <w:rFonts w:ascii="Garamond" w:hAnsi="Garamond"/>
          <w:sz w:val="20"/>
        </w:rPr>
        <w:t xml:space="preserve">or </w:t>
      </w:r>
      <w:hyperlink r:id="rId14" w:history="1">
        <w:r w:rsidRPr="00992453">
          <w:rPr>
            <w:rStyle w:val="Hyperlink"/>
            <w:rFonts w:ascii="Garamond" w:hAnsi="Garamond"/>
            <w:sz w:val="20"/>
          </w:rPr>
          <w:t>Jerald.Sanchez@ph.gt.com</w:t>
        </w:r>
      </w:hyperlink>
      <w:r>
        <w:rPr>
          <w:rFonts w:ascii="Garamond" w:hAnsi="Garamond"/>
          <w:sz w:val="20"/>
        </w:rPr>
        <w:t xml:space="preserve"> </w:t>
      </w:r>
      <w:r w:rsidRPr="007361AC">
        <w:rPr>
          <w:rFonts w:ascii="Garamond" w:hAnsi="Garamond"/>
          <w:sz w:val="20"/>
        </w:rPr>
        <w:t>or call 988-2288.</w:t>
      </w:r>
      <w:r w:rsidR="00214BA9">
        <w:rPr>
          <w:rFonts w:ascii="Garamond" w:hAnsi="Garamond"/>
          <w:sz w:val="20"/>
        </w:rPr>
        <w:t xml:space="preserve"> </w:t>
      </w:r>
      <w:r w:rsidR="00214BA9" w:rsidRPr="00416F58">
        <w:rPr>
          <w:rFonts w:ascii="Garamond" w:hAnsi="Garamond"/>
          <w:sz w:val="20"/>
        </w:rPr>
        <w:t xml:space="preserve"> </w:t>
      </w:r>
    </w:p>
    <w:p w:rsidR="00214BA9" w:rsidRPr="00EE45D5" w:rsidRDefault="00214BA9" w:rsidP="007620BF">
      <w:pPr>
        <w:pStyle w:val="Copyright"/>
      </w:pPr>
    </w:p>
    <w:sectPr w:rsidR="00214BA9" w:rsidRPr="00EE45D5" w:rsidSect="009A41AF">
      <w:footerReference w:type="default" r:id="rId15"/>
      <w:pgSz w:w="12240" w:h="15840" w:code="1"/>
      <w:pgMar w:top="1080" w:right="864" w:bottom="864" w:left="1440" w:header="720" w:footer="288" w:gutter="28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2E" w:rsidRDefault="00817A2E" w:rsidP="00BF353F">
      <w:pPr>
        <w:spacing w:after="0" w:line="240" w:lineRule="auto"/>
      </w:pPr>
      <w:r>
        <w:separator/>
      </w:r>
    </w:p>
  </w:endnote>
  <w:endnote w:type="continuationSeparator" w:id="0">
    <w:p w:rsidR="00817A2E" w:rsidRDefault="00817A2E" w:rsidP="00BF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A9" w:rsidRPr="00214BA9" w:rsidRDefault="00C10A9F" w:rsidP="00214BA9">
    <w:pPr>
      <w:pStyle w:val="Footer"/>
      <w:rPr>
        <w:rFonts w:ascii="Arial" w:hAnsi="Arial" w:cs="Arial"/>
        <w:b/>
        <w:color w:val="747678"/>
        <w:sz w:val="13"/>
        <w:szCs w:val="13"/>
      </w:rPr>
    </w:pPr>
    <w:r>
      <w:rPr>
        <w:rFonts w:ascii="Arial" w:hAnsi="Arial" w:cs="Arial"/>
        <w:b/>
        <w:color w:val="747678"/>
        <w:sz w:val="13"/>
        <w:szCs w:val="13"/>
      </w:rPr>
      <w:t>©2016</w:t>
    </w:r>
    <w:r w:rsidR="00214BA9" w:rsidRPr="00214BA9">
      <w:rPr>
        <w:rFonts w:ascii="Arial" w:hAnsi="Arial" w:cs="Arial"/>
        <w:b/>
        <w:color w:val="747678"/>
        <w:sz w:val="13"/>
        <w:szCs w:val="13"/>
      </w:rPr>
      <w:t xml:space="preserve"> Punongbayan &amp; Araullo. A member firm within Grant Thornton International Ltd</w:t>
    </w:r>
    <w:r w:rsidR="00FA125F">
      <w:rPr>
        <w:rFonts w:ascii="Arial" w:hAnsi="Arial" w:cs="Arial"/>
        <w:b/>
        <w:color w:val="747678"/>
        <w:sz w:val="13"/>
        <w:szCs w:val="13"/>
      </w:rPr>
      <w:t>.</w:t>
    </w:r>
  </w:p>
  <w:p w:rsidR="00214BA9" w:rsidRPr="00214BA9" w:rsidRDefault="00214BA9" w:rsidP="00214BA9">
    <w:pPr>
      <w:rPr>
        <w:rFonts w:ascii="Arial" w:hAnsi="Arial" w:cs="Arial"/>
        <w:b/>
        <w:color w:val="747678"/>
        <w:sz w:val="13"/>
        <w:szCs w:val="13"/>
      </w:rPr>
    </w:pPr>
    <w:r w:rsidRPr="00214BA9">
      <w:rPr>
        <w:rFonts w:ascii="Arial" w:hAnsi="Arial" w:cs="Arial"/>
        <w:b/>
        <w:color w:val="747678"/>
        <w:sz w:val="13"/>
        <w:szCs w:val="13"/>
      </w:rPr>
      <w:t xml:space="preserve">All rights reserved. </w:t>
    </w:r>
  </w:p>
  <w:p w:rsidR="001859E8" w:rsidRDefault="001859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2E" w:rsidRDefault="00817A2E" w:rsidP="00BF353F">
      <w:pPr>
        <w:spacing w:after="0" w:line="240" w:lineRule="auto"/>
      </w:pPr>
      <w:r>
        <w:separator/>
      </w:r>
    </w:p>
  </w:footnote>
  <w:footnote w:type="continuationSeparator" w:id="0">
    <w:p w:rsidR="00817A2E" w:rsidRDefault="00817A2E" w:rsidP="00BF3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8F2"/>
    <w:multiLevelType w:val="hybridMultilevel"/>
    <w:tmpl w:val="4782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ADB"/>
    <w:multiLevelType w:val="hybridMultilevel"/>
    <w:tmpl w:val="1CDEC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61BF6"/>
    <w:multiLevelType w:val="hybridMultilevel"/>
    <w:tmpl w:val="EC4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1045"/>
    <w:multiLevelType w:val="hybridMultilevel"/>
    <w:tmpl w:val="967C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6FED"/>
    <w:multiLevelType w:val="hybridMultilevel"/>
    <w:tmpl w:val="352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5DC2"/>
    <w:multiLevelType w:val="hybridMultilevel"/>
    <w:tmpl w:val="3FA2A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E9"/>
    <w:multiLevelType w:val="hybridMultilevel"/>
    <w:tmpl w:val="C3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C37A6"/>
    <w:multiLevelType w:val="hybridMultilevel"/>
    <w:tmpl w:val="3F4258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F7EBB"/>
    <w:multiLevelType w:val="hybridMultilevel"/>
    <w:tmpl w:val="3CE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71C62"/>
    <w:multiLevelType w:val="hybridMultilevel"/>
    <w:tmpl w:val="BEB24C32"/>
    <w:lvl w:ilvl="0" w:tplc="885EEB4E">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2B4F4062"/>
    <w:multiLevelType w:val="hybridMultilevel"/>
    <w:tmpl w:val="406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935C3"/>
    <w:multiLevelType w:val="hybridMultilevel"/>
    <w:tmpl w:val="6812D7BA"/>
    <w:lvl w:ilvl="0" w:tplc="3CA62D26">
      <w:numFmt w:val="bullet"/>
      <w:lvlText w:val="•"/>
      <w:lvlJc w:val="left"/>
      <w:pPr>
        <w:ind w:left="72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377B"/>
    <w:multiLevelType w:val="hybridMultilevel"/>
    <w:tmpl w:val="42D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D5B8E"/>
    <w:multiLevelType w:val="hybridMultilevel"/>
    <w:tmpl w:val="40324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C1365"/>
    <w:multiLevelType w:val="hybridMultilevel"/>
    <w:tmpl w:val="837A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B3F9D"/>
    <w:multiLevelType w:val="hybridMultilevel"/>
    <w:tmpl w:val="336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1739F"/>
    <w:multiLevelType w:val="hybridMultilevel"/>
    <w:tmpl w:val="DFD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C5DB1"/>
    <w:multiLevelType w:val="hybridMultilevel"/>
    <w:tmpl w:val="259C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066F"/>
    <w:multiLevelType w:val="hybridMultilevel"/>
    <w:tmpl w:val="F07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47706"/>
    <w:multiLevelType w:val="hybridMultilevel"/>
    <w:tmpl w:val="ECAABA7A"/>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0" w15:restartNumberingAfterBreak="0">
    <w:nsid w:val="51171E1C"/>
    <w:multiLevelType w:val="hybridMultilevel"/>
    <w:tmpl w:val="8AFC7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6414A"/>
    <w:multiLevelType w:val="hybridMultilevel"/>
    <w:tmpl w:val="FC76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D6AC7"/>
    <w:multiLevelType w:val="hybridMultilevel"/>
    <w:tmpl w:val="4F02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620C1"/>
    <w:multiLevelType w:val="hybridMultilevel"/>
    <w:tmpl w:val="1478A25A"/>
    <w:lvl w:ilvl="0" w:tplc="4BDA3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D45B3"/>
    <w:multiLevelType w:val="hybridMultilevel"/>
    <w:tmpl w:val="42F0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A5B6C"/>
    <w:multiLevelType w:val="hybridMultilevel"/>
    <w:tmpl w:val="3490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83998"/>
    <w:multiLevelType w:val="hybridMultilevel"/>
    <w:tmpl w:val="588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0326A"/>
    <w:multiLevelType w:val="hybridMultilevel"/>
    <w:tmpl w:val="A866F46C"/>
    <w:lvl w:ilvl="0" w:tplc="F06CE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5"/>
  </w:num>
  <w:num w:numId="4">
    <w:abstractNumId w:val="3"/>
  </w:num>
  <w:num w:numId="5">
    <w:abstractNumId w:val="2"/>
  </w:num>
  <w:num w:numId="6">
    <w:abstractNumId w:val="14"/>
  </w:num>
  <w:num w:numId="7">
    <w:abstractNumId w:val="8"/>
  </w:num>
  <w:num w:numId="8">
    <w:abstractNumId w:val="20"/>
  </w:num>
  <w:num w:numId="9">
    <w:abstractNumId w:val="19"/>
  </w:num>
  <w:num w:numId="10">
    <w:abstractNumId w:val="25"/>
  </w:num>
  <w:num w:numId="11">
    <w:abstractNumId w:val="27"/>
  </w:num>
  <w:num w:numId="12">
    <w:abstractNumId w:val="9"/>
  </w:num>
  <w:num w:numId="13">
    <w:abstractNumId w:val="23"/>
  </w:num>
  <w:num w:numId="14">
    <w:abstractNumId w:val="22"/>
  </w:num>
  <w:num w:numId="15">
    <w:abstractNumId w:val="10"/>
  </w:num>
  <w:num w:numId="16">
    <w:abstractNumId w:val="17"/>
  </w:num>
  <w:num w:numId="17">
    <w:abstractNumId w:val="0"/>
  </w:num>
  <w:num w:numId="18">
    <w:abstractNumId w:val="24"/>
  </w:num>
  <w:num w:numId="19">
    <w:abstractNumId w:val="16"/>
  </w:num>
  <w:num w:numId="20">
    <w:abstractNumId w:val="26"/>
  </w:num>
  <w:num w:numId="21">
    <w:abstractNumId w:val="11"/>
  </w:num>
  <w:num w:numId="22">
    <w:abstractNumId w:val="5"/>
  </w:num>
  <w:num w:numId="23">
    <w:abstractNumId w:val="18"/>
  </w:num>
  <w:num w:numId="24">
    <w:abstractNumId w:val="12"/>
  </w:num>
  <w:num w:numId="25">
    <w:abstractNumId w:val="7"/>
  </w:num>
  <w:num w:numId="26">
    <w:abstractNumId w:val="1"/>
  </w:num>
  <w:num w:numId="27">
    <w:abstractNumId w:val="21"/>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45"/>
    <w:rsid w:val="000315F9"/>
    <w:rsid w:val="00036F56"/>
    <w:rsid w:val="00037876"/>
    <w:rsid w:val="0003796D"/>
    <w:rsid w:val="000435A3"/>
    <w:rsid w:val="000820C1"/>
    <w:rsid w:val="00083DB1"/>
    <w:rsid w:val="000A2450"/>
    <w:rsid w:val="000C05EA"/>
    <w:rsid w:val="000C1545"/>
    <w:rsid w:val="00100F64"/>
    <w:rsid w:val="001071EB"/>
    <w:rsid w:val="001108B6"/>
    <w:rsid w:val="0011145B"/>
    <w:rsid w:val="001316B9"/>
    <w:rsid w:val="00165792"/>
    <w:rsid w:val="00167E0E"/>
    <w:rsid w:val="0018406E"/>
    <w:rsid w:val="001859E8"/>
    <w:rsid w:val="001918F6"/>
    <w:rsid w:val="001B2C44"/>
    <w:rsid w:val="001D01B8"/>
    <w:rsid w:val="001F7FF2"/>
    <w:rsid w:val="0020062D"/>
    <w:rsid w:val="002054DA"/>
    <w:rsid w:val="002141DA"/>
    <w:rsid w:val="00214BA9"/>
    <w:rsid w:val="002521F8"/>
    <w:rsid w:val="00264C65"/>
    <w:rsid w:val="0026748D"/>
    <w:rsid w:val="00267BEA"/>
    <w:rsid w:val="00275CF6"/>
    <w:rsid w:val="00284B6A"/>
    <w:rsid w:val="002A0388"/>
    <w:rsid w:val="002A129D"/>
    <w:rsid w:val="002A2ED2"/>
    <w:rsid w:val="002B1A06"/>
    <w:rsid w:val="002B612C"/>
    <w:rsid w:val="002E06F1"/>
    <w:rsid w:val="00313023"/>
    <w:rsid w:val="003226B3"/>
    <w:rsid w:val="00331A69"/>
    <w:rsid w:val="00352EF0"/>
    <w:rsid w:val="00353DE0"/>
    <w:rsid w:val="00370AF5"/>
    <w:rsid w:val="00376FEF"/>
    <w:rsid w:val="00377E16"/>
    <w:rsid w:val="003D2B3E"/>
    <w:rsid w:val="003D36A2"/>
    <w:rsid w:val="003D4237"/>
    <w:rsid w:val="003E2C5B"/>
    <w:rsid w:val="003F59E5"/>
    <w:rsid w:val="003F5BE7"/>
    <w:rsid w:val="004109CD"/>
    <w:rsid w:val="00431EF9"/>
    <w:rsid w:val="004327AA"/>
    <w:rsid w:val="00435A8E"/>
    <w:rsid w:val="00441438"/>
    <w:rsid w:val="004509EC"/>
    <w:rsid w:val="00475544"/>
    <w:rsid w:val="0048120B"/>
    <w:rsid w:val="004C0994"/>
    <w:rsid w:val="004E1C70"/>
    <w:rsid w:val="004E45D0"/>
    <w:rsid w:val="004E50E0"/>
    <w:rsid w:val="005122D1"/>
    <w:rsid w:val="00514110"/>
    <w:rsid w:val="00526215"/>
    <w:rsid w:val="005619FA"/>
    <w:rsid w:val="00563BA1"/>
    <w:rsid w:val="00565FFC"/>
    <w:rsid w:val="00570799"/>
    <w:rsid w:val="00583C94"/>
    <w:rsid w:val="0058767F"/>
    <w:rsid w:val="005A62FB"/>
    <w:rsid w:val="005C51FF"/>
    <w:rsid w:val="005D416F"/>
    <w:rsid w:val="005D4FF0"/>
    <w:rsid w:val="005E2796"/>
    <w:rsid w:val="005F156D"/>
    <w:rsid w:val="00606D25"/>
    <w:rsid w:val="00607DA1"/>
    <w:rsid w:val="0061246A"/>
    <w:rsid w:val="0062034F"/>
    <w:rsid w:val="0062042F"/>
    <w:rsid w:val="00620514"/>
    <w:rsid w:val="00632B84"/>
    <w:rsid w:val="0063680C"/>
    <w:rsid w:val="00636F04"/>
    <w:rsid w:val="006531AF"/>
    <w:rsid w:val="0066775E"/>
    <w:rsid w:val="00672424"/>
    <w:rsid w:val="00685BFB"/>
    <w:rsid w:val="0069681E"/>
    <w:rsid w:val="006A58AD"/>
    <w:rsid w:val="006B711F"/>
    <w:rsid w:val="00701EB7"/>
    <w:rsid w:val="00704168"/>
    <w:rsid w:val="00757425"/>
    <w:rsid w:val="007620BF"/>
    <w:rsid w:val="007720CA"/>
    <w:rsid w:val="007752D0"/>
    <w:rsid w:val="0078241D"/>
    <w:rsid w:val="0078296A"/>
    <w:rsid w:val="007A59D1"/>
    <w:rsid w:val="007B3241"/>
    <w:rsid w:val="007B4935"/>
    <w:rsid w:val="007B765B"/>
    <w:rsid w:val="007C1FCC"/>
    <w:rsid w:val="007E1E13"/>
    <w:rsid w:val="007E257C"/>
    <w:rsid w:val="007E556E"/>
    <w:rsid w:val="007E7E7A"/>
    <w:rsid w:val="007F62C3"/>
    <w:rsid w:val="0081132C"/>
    <w:rsid w:val="00817A2E"/>
    <w:rsid w:val="00824046"/>
    <w:rsid w:val="008257F4"/>
    <w:rsid w:val="008814A8"/>
    <w:rsid w:val="00885941"/>
    <w:rsid w:val="008A5467"/>
    <w:rsid w:val="008A6F9D"/>
    <w:rsid w:val="008C2095"/>
    <w:rsid w:val="008E1DED"/>
    <w:rsid w:val="00901DAA"/>
    <w:rsid w:val="0094036B"/>
    <w:rsid w:val="00983F78"/>
    <w:rsid w:val="0099094F"/>
    <w:rsid w:val="009921E8"/>
    <w:rsid w:val="00995ADF"/>
    <w:rsid w:val="009A372D"/>
    <w:rsid w:val="009A41AF"/>
    <w:rsid w:val="009B6CEE"/>
    <w:rsid w:val="009C43D6"/>
    <w:rsid w:val="009C6AF0"/>
    <w:rsid w:val="009C777E"/>
    <w:rsid w:val="009E72F4"/>
    <w:rsid w:val="00A14AF6"/>
    <w:rsid w:val="00A20B7A"/>
    <w:rsid w:val="00A21A15"/>
    <w:rsid w:val="00A533A2"/>
    <w:rsid w:val="00A53B29"/>
    <w:rsid w:val="00A55EF8"/>
    <w:rsid w:val="00A71CCF"/>
    <w:rsid w:val="00A744BF"/>
    <w:rsid w:val="00A833BA"/>
    <w:rsid w:val="00A93750"/>
    <w:rsid w:val="00AA536F"/>
    <w:rsid w:val="00AB1AEB"/>
    <w:rsid w:val="00AB33BC"/>
    <w:rsid w:val="00AB558D"/>
    <w:rsid w:val="00AB64A5"/>
    <w:rsid w:val="00AC2B47"/>
    <w:rsid w:val="00AC6269"/>
    <w:rsid w:val="00AD492B"/>
    <w:rsid w:val="00B46EB9"/>
    <w:rsid w:val="00B52FFE"/>
    <w:rsid w:val="00B67C33"/>
    <w:rsid w:val="00B762E5"/>
    <w:rsid w:val="00B851A6"/>
    <w:rsid w:val="00BA1518"/>
    <w:rsid w:val="00BB0A2C"/>
    <w:rsid w:val="00BB3809"/>
    <w:rsid w:val="00BB48D4"/>
    <w:rsid w:val="00BC3E0D"/>
    <w:rsid w:val="00BD198B"/>
    <w:rsid w:val="00BD7C3D"/>
    <w:rsid w:val="00BF353F"/>
    <w:rsid w:val="00C10A9F"/>
    <w:rsid w:val="00C3194F"/>
    <w:rsid w:val="00C3791C"/>
    <w:rsid w:val="00C40BA7"/>
    <w:rsid w:val="00C44C13"/>
    <w:rsid w:val="00C46C45"/>
    <w:rsid w:val="00C549EE"/>
    <w:rsid w:val="00C607AA"/>
    <w:rsid w:val="00C61807"/>
    <w:rsid w:val="00C62B58"/>
    <w:rsid w:val="00C752F5"/>
    <w:rsid w:val="00C86979"/>
    <w:rsid w:val="00CA06F1"/>
    <w:rsid w:val="00CB0E03"/>
    <w:rsid w:val="00CB1042"/>
    <w:rsid w:val="00CB6142"/>
    <w:rsid w:val="00CC1BA6"/>
    <w:rsid w:val="00CC3409"/>
    <w:rsid w:val="00CC3B1B"/>
    <w:rsid w:val="00CD1EF9"/>
    <w:rsid w:val="00CE6668"/>
    <w:rsid w:val="00D22E09"/>
    <w:rsid w:val="00D62D8A"/>
    <w:rsid w:val="00D647F1"/>
    <w:rsid w:val="00D72609"/>
    <w:rsid w:val="00D753B3"/>
    <w:rsid w:val="00DA3FB7"/>
    <w:rsid w:val="00DB5DD3"/>
    <w:rsid w:val="00DD2F67"/>
    <w:rsid w:val="00DD7554"/>
    <w:rsid w:val="00E468C3"/>
    <w:rsid w:val="00E50313"/>
    <w:rsid w:val="00E54498"/>
    <w:rsid w:val="00E80E1D"/>
    <w:rsid w:val="00EB2680"/>
    <w:rsid w:val="00EB57F9"/>
    <w:rsid w:val="00EC49F8"/>
    <w:rsid w:val="00ED09EF"/>
    <w:rsid w:val="00ED1B86"/>
    <w:rsid w:val="00EE45D5"/>
    <w:rsid w:val="00F1379F"/>
    <w:rsid w:val="00F22C52"/>
    <w:rsid w:val="00F36D37"/>
    <w:rsid w:val="00F42890"/>
    <w:rsid w:val="00F513E5"/>
    <w:rsid w:val="00F810E5"/>
    <w:rsid w:val="00F92F13"/>
    <w:rsid w:val="00FA125F"/>
    <w:rsid w:val="00FA68D5"/>
    <w:rsid w:val="00FB0CD6"/>
    <w:rsid w:val="00FB7EEB"/>
    <w:rsid w:val="00FC5DA3"/>
    <w:rsid w:val="00FD36CC"/>
    <w:rsid w:val="00FD6303"/>
    <w:rsid w:val="00FE657B"/>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097BC"/>
  <w15:docId w15:val="{7E74C8AB-699E-4820-A97B-064C55CB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9"/>
    <w:qFormat/>
    <w:rsid w:val="000C1545"/>
    <w:pPr>
      <w:keepNext/>
      <w:spacing w:after="0" w:line="260" w:lineRule="atLeast"/>
      <w:outlineLvl w:val="0"/>
    </w:pPr>
    <w:rPr>
      <w:rFonts w:ascii="Arial Black" w:eastAsia="Times New Roman" w:hAnsi="Arial Black" w:cs="Arial"/>
      <w:bCs/>
      <w:color w:val="4F2D7F"/>
      <w:kern w:val="32"/>
      <w:sz w:val="19"/>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94F"/>
    <w:pPr>
      <w:ind w:left="720"/>
      <w:contextualSpacing/>
    </w:pPr>
  </w:style>
  <w:style w:type="paragraph" w:styleId="BodyText2">
    <w:name w:val="Body Text 2"/>
    <w:basedOn w:val="Normal"/>
    <w:link w:val="BodyText2Char"/>
    <w:rsid w:val="00B762E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762E5"/>
    <w:rPr>
      <w:rFonts w:ascii="Times New Roman" w:eastAsia="Times New Roman" w:hAnsi="Times New Roman" w:cs="Times New Roman"/>
      <w:sz w:val="20"/>
      <w:szCs w:val="20"/>
    </w:rPr>
  </w:style>
  <w:style w:type="paragraph" w:styleId="NormalWeb">
    <w:name w:val="Normal (Web)"/>
    <w:basedOn w:val="Normal"/>
    <w:rsid w:val="00CC1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0C1545"/>
    <w:rPr>
      <w:rFonts w:ascii="Arial Black" w:eastAsia="Times New Roman" w:hAnsi="Arial Black" w:cs="Arial"/>
      <w:bCs/>
      <w:color w:val="4F2D7F"/>
      <w:kern w:val="32"/>
      <w:sz w:val="19"/>
      <w:szCs w:val="28"/>
      <w:lang w:val="en-GB"/>
    </w:rPr>
  </w:style>
  <w:style w:type="paragraph" w:styleId="BodyText">
    <w:name w:val="Body Text"/>
    <w:basedOn w:val="Normal"/>
    <w:link w:val="BodyTextChar"/>
    <w:uiPriority w:val="99"/>
    <w:semiHidden/>
    <w:unhideWhenUsed/>
    <w:rsid w:val="000C1545"/>
    <w:pPr>
      <w:spacing w:after="120"/>
    </w:pPr>
  </w:style>
  <w:style w:type="character" w:customStyle="1" w:styleId="BodyTextChar">
    <w:name w:val="Body Text Char"/>
    <w:basedOn w:val="DefaultParagraphFont"/>
    <w:link w:val="BodyText"/>
    <w:uiPriority w:val="99"/>
    <w:semiHidden/>
    <w:rsid w:val="000C1545"/>
  </w:style>
  <w:style w:type="paragraph" w:styleId="BalloonText">
    <w:name w:val="Balloon Text"/>
    <w:basedOn w:val="Normal"/>
    <w:link w:val="BalloonTextChar"/>
    <w:uiPriority w:val="99"/>
    <w:semiHidden/>
    <w:unhideWhenUsed/>
    <w:rsid w:val="000C1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45"/>
    <w:rPr>
      <w:rFonts w:ascii="Tahoma" w:hAnsi="Tahoma" w:cs="Tahoma"/>
      <w:sz w:val="16"/>
      <w:szCs w:val="16"/>
    </w:rPr>
  </w:style>
  <w:style w:type="character" w:styleId="CommentReference">
    <w:name w:val="annotation reference"/>
    <w:basedOn w:val="DefaultParagraphFont"/>
    <w:uiPriority w:val="99"/>
    <w:semiHidden/>
    <w:unhideWhenUsed/>
    <w:rsid w:val="00D22E09"/>
    <w:rPr>
      <w:sz w:val="16"/>
      <w:szCs w:val="16"/>
    </w:rPr>
  </w:style>
  <w:style w:type="paragraph" w:styleId="CommentText">
    <w:name w:val="annotation text"/>
    <w:basedOn w:val="Normal"/>
    <w:link w:val="CommentTextChar"/>
    <w:uiPriority w:val="99"/>
    <w:semiHidden/>
    <w:unhideWhenUsed/>
    <w:rsid w:val="00D22E09"/>
    <w:pPr>
      <w:spacing w:line="240" w:lineRule="auto"/>
    </w:pPr>
    <w:rPr>
      <w:sz w:val="20"/>
      <w:szCs w:val="20"/>
    </w:rPr>
  </w:style>
  <w:style w:type="character" w:customStyle="1" w:styleId="CommentTextChar">
    <w:name w:val="Comment Text Char"/>
    <w:basedOn w:val="DefaultParagraphFont"/>
    <w:link w:val="CommentText"/>
    <w:uiPriority w:val="99"/>
    <w:semiHidden/>
    <w:rsid w:val="00D22E09"/>
    <w:rPr>
      <w:sz w:val="20"/>
      <w:szCs w:val="20"/>
    </w:rPr>
  </w:style>
  <w:style w:type="paragraph" w:styleId="CommentSubject">
    <w:name w:val="annotation subject"/>
    <w:basedOn w:val="CommentText"/>
    <w:next w:val="CommentText"/>
    <w:link w:val="CommentSubjectChar"/>
    <w:uiPriority w:val="99"/>
    <w:semiHidden/>
    <w:unhideWhenUsed/>
    <w:rsid w:val="00D22E09"/>
    <w:rPr>
      <w:b/>
      <w:bCs/>
    </w:rPr>
  </w:style>
  <w:style w:type="character" w:customStyle="1" w:styleId="CommentSubjectChar">
    <w:name w:val="Comment Subject Char"/>
    <w:basedOn w:val="CommentTextChar"/>
    <w:link w:val="CommentSubject"/>
    <w:uiPriority w:val="99"/>
    <w:semiHidden/>
    <w:rsid w:val="00D22E09"/>
    <w:rPr>
      <w:b/>
      <w:bCs/>
      <w:sz w:val="20"/>
      <w:szCs w:val="20"/>
    </w:rPr>
  </w:style>
  <w:style w:type="paragraph" w:styleId="Revision">
    <w:name w:val="Revision"/>
    <w:hidden/>
    <w:uiPriority w:val="99"/>
    <w:semiHidden/>
    <w:rsid w:val="00D22E09"/>
    <w:pPr>
      <w:spacing w:after="0" w:line="240" w:lineRule="auto"/>
    </w:pPr>
  </w:style>
  <w:style w:type="paragraph" w:styleId="EndnoteText">
    <w:name w:val="endnote text"/>
    <w:basedOn w:val="Normal"/>
    <w:link w:val="EndnoteTextChar"/>
    <w:uiPriority w:val="99"/>
    <w:semiHidden/>
    <w:unhideWhenUsed/>
    <w:rsid w:val="00BF35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53F"/>
    <w:rPr>
      <w:sz w:val="20"/>
      <w:szCs w:val="20"/>
    </w:rPr>
  </w:style>
  <w:style w:type="character" w:styleId="EndnoteReference">
    <w:name w:val="endnote reference"/>
    <w:basedOn w:val="DefaultParagraphFont"/>
    <w:uiPriority w:val="99"/>
    <w:semiHidden/>
    <w:unhideWhenUsed/>
    <w:rsid w:val="00BF353F"/>
    <w:rPr>
      <w:vertAlign w:val="superscript"/>
    </w:rPr>
  </w:style>
  <w:style w:type="paragraph" w:styleId="Header">
    <w:name w:val="header"/>
    <w:basedOn w:val="Normal"/>
    <w:link w:val="HeaderChar"/>
    <w:uiPriority w:val="99"/>
    <w:unhideWhenUsed/>
    <w:rsid w:val="00BF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53F"/>
  </w:style>
  <w:style w:type="paragraph" w:styleId="Footer">
    <w:name w:val="footer"/>
    <w:basedOn w:val="Normal"/>
    <w:link w:val="FooterChar"/>
    <w:uiPriority w:val="99"/>
    <w:unhideWhenUsed/>
    <w:rsid w:val="00BF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53F"/>
  </w:style>
  <w:style w:type="paragraph" w:customStyle="1" w:styleId="ReferenceTitle">
    <w:name w:val="Reference Title"/>
    <w:next w:val="Normal"/>
    <w:rsid w:val="00BF353F"/>
    <w:pPr>
      <w:spacing w:after="0" w:line="240" w:lineRule="auto"/>
    </w:pPr>
    <w:rPr>
      <w:rFonts w:ascii="Arial Black" w:eastAsia="Times New Roman" w:hAnsi="Arial Black" w:cs="Arial"/>
      <w:kern w:val="32"/>
      <w:sz w:val="18"/>
      <w:szCs w:val="24"/>
      <w:lang w:val="en-GB"/>
    </w:rPr>
  </w:style>
  <w:style w:type="paragraph" w:customStyle="1" w:styleId="LetterFooterTitle">
    <w:name w:val="Letter Footer Title"/>
    <w:next w:val="Normal"/>
    <w:semiHidden/>
    <w:rsid w:val="00BF353F"/>
    <w:pPr>
      <w:spacing w:after="0" w:line="140" w:lineRule="atLeast"/>
    </w:pPr>
    <w:rPr>
      <w:rFonts w:ascii="Arial Narrow" w:eastAsia="Times New Roman" w:hAnsi="Arial Narrow" w:cs="Arial"/>
      <w:b/>
      <w:sz w:val="11"/>
      <w:szCs w:val="20"/>
      <w:lang w:val="en-GB"/>
    </w:rPr>
  </w:style>
  <w:style w:type="paragraph" w:customStyle="1" w:styleId="Default">
    <w:name w:val="Default"/>
    <w:rsid w:val="005A62F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semiHidden/>
    <w:unhideWhenUsed/>
    <w:rsid w:val="00995ADF"/>
    <w:rPr>
      <w:color w:val="0000FF"/>
      <w:u w:val="single"/>
    </w:rPr>
  </w:style>
  <w:style w:type="paragraph" w:customStyle="1" w:styleId="Copyright">
    <w:name w:val="Copyright"/>
    <w:semiHidden/>
    <w:rsid w:val="00214BA9"/>
    <w:pPr>
      <w:spacing w:after="0" w:line="220" w:lineRule="atLeast"/>
    </w:pPr>
    <w:rPr>
      <w:rFonts w:ascii="Garamond" w:eastAsia="Times New Roman" w:hAnsi="Garamond" w:cs="Arial"/>
      <w:sz w:val="20"/>
      <w:szCs w:val="20"/>
      <w:lang w:val="en-GB"/>
    </w:rPr>
  </w:style>
  <w:style w:type="paragraph" w:customStyle="1" w:styleId="Line">
    <w:name w:val="Line"/>
    <w:rsid w:val="00214BA9"/>
    <w:pPr>
      <w:pBdr>
        <w:top w:val="single" w:sz="12" w:space="8" w:color="808080"/>
      </w:pBdr>
      <w:spacing w:before="120" w:after="160" w:line="240" w:lineRule="auto"/>
    </w:pPr>
    <w:rPr>
      <w:rFonts w:ascii="Times New Roman" w:eastAsia="Times New Roman" w:hAnsi="Times New Roman" w:cs="Times New Roman"/>
      <w:szCs w:val="20"/>
    </w:rPr>
  </w:style>
  <w:style w:type="paragraph" w:styleId="Quote">
    <w:name w:val="Quote"/>
    <w:basedOn w:val="Normal"/>
    <w:next w:val="Normal"/>
    <w:link w:val="QuoteChar"/>
    <w:uiPriority w:val="29"/>
    <w:qFormat/>
    <w:rsid w:val="00214BA9"/>
    <w:rPr>
      <w:rFonts w:eastAsiaTheme="minorEastAsia"/>
      <w:i/>
      <w:iCs/>
      <w:color w:val="000000" w:themeColor="text1"/>
      <w:lang w:eastAsia="ja-JP"/>
    </w:rPr>
  </w:style>
  <w:style w:type="character" w:customStyle="1" w:styleId="QuoteChar">
    <w:name w:val="Quote Char"/>
    <w:basedOn w:val="DefaultParagraphFont"/>
    <w:link w:val="Quote"/>
    <w:uiPriority w:val="29"/>
    <w:rsid w:val="00214BA9"/>
    <w:rPr>
      <w:rFonts w:eastAsiaTheme="minorEastAsia"/>
      <w:i/>
      <w:iCs/>
      <w:color w:val="000000" w:themeColor="text1"/>
      <w:lang w:eastAsia="ja-JP"/>
    </w:rPr>
  </w:style>
  <w:style w:type="character" w:customStyle="1" w:styleId="apple-converted-space">
    <w:name w:val="apple-converted-space"/>
    <w:basedOn w:val="DefaultParagraphFont"/>
    <w:rsid w:val="0048120B"/>
  </w:style>
  <w:style w:type="table" w:styleId="LightShading-Accent1">
    <w:name w:val="Light Shading Accent 1"/>
    <w:basedOn w:val="TableNormal"/>
    <w:uiPriority w:val="60"/>
    <w:rsid w:val="00EC49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4">
    <w:name w:val="Medium List 1 Accent 4"/>
    <w:basedOn w:val="TableNormal"/>
    <w:uiPriority w:val="65"/>
    <w:rsid w:val="00EC49F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1-Accent4">
    <w:name w:val="Medium Grid 1 Accent 4"/>
    <w:basedOn w:val="TableNormal"/>
    <w:uiPriority w:val="67"/>
    <w:rsid w:val="00EC49F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5">
    <w:name w:val="Medium Grid 3 Accent 5"/>
    <w:basedOn w:val="TableNormal"/>
    <w:uiPriority w:val="69"/>
    <w:rsid w:val="00EC49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EC49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931">
      <w:bodyDiv w:val="1"/>
      <w:marLeft w:val="0"/>
      <w:marRight w:val="0"/>
      <w:marTop w:val="0"/>
      <w:marBottom w:val="0"/>
      <w:divBdr>
        <w:top w:val="none" w:sz="0" w:space="0" w:color="auto"/>
        <w:left w:val="none" w:sz="0" w:space="0" w:color="auto"/>
        <w:bottom w:val="none" w:sz="0" w:space="0" w:color="auto"/>
        <w:right w:val="none" w:sz="0" w:space="0" w:color="auto"/>
      </w:divBdr>
    </w:div>
    <w:div w:id="72826697">
      <w:bodyDiv w:val="1"/>
      <w:marLeft w:val="0"/>
      <w:marRight w:val="0"/>
      <w:marTop w:val="0"/>
      <w:marBottom w:val="0"/>
      <w:divBdr>
        <w:top w:val="none" w:sz="0" w:space="0" w:color="auto"/>
        <w:left w:val="none" w:sz="0" w:space="0" w:color="auto"/>
        <w:bottom w:val="none" w:sz="0" w:space="0" w:color="auto"/>
        <w:right w:val="none" w:sz="0" w:space="0" w:color="auto"/>
      </w:divBdr>
    </w:div>
    <w:div w:id="312218943">
      <w:bodyDiv w:val="1"/>
      <w:marLeft w:val="0"/>
      <w:marRight w:val="0"/>
      <w:marTop w:val="0"/>
      <w:marBottom w:val="0"/>
      <w:divBdr>
        <w:top w:val="none" w:sz="0" w:space="0" w:color="auto"/>
        <w:left w:val="none" w:sz="0" w:space="0" w:color="auto"/>
        <w:bottom w:val="none" w:sz="0" w:space="0" w:color="auto"/>
        <w:right w:val="none" w:sz="0" w:space="0" w:color="auto"/>
      </w:divBdr>
      <w:divsChild>
        <w:div w:id="404843349">
          <w:marLeft w:val="706"/>
          <w:marRight w:val="0"/>
          <w:marTop w:val="96"/>
          <w:marBottom w:val="0"/>
          <w:divBdr>
            <w:top w:val="none" w:sz="0" w:space="0" w:color="auto"/>
            <w:left w:val="none" w:sz="0" w:space="0" w:color="auto"/>
            <w:bottom w:val="none" w:sz="0" w:space="0" w:color="auto"/>
            <w:right w:val="none" w:sz="0" w:space="0" w:color="auto"/>
          </w:divBdr>
        </w:div>
        <w:div w:id="304748496">
          <w:marLeft w:val="706"/>
          <w:marRight w:val="0"/>
          <w:marTop w:val="96"/>
          <w:marBottom w:val="0"/>
          <w:divBdr>
            <w:top w:val="none" w:sz="0" w:space="0" w:color="auto"/>
            <w:left w:val="none" w:sz="0" w:space="0" w:color="auto"/>
            <w:bottom w:val="none" w:sz="0" w:space="0" w:color="auto"/>
            <w:right w:val="none" w:sz="0" w:space="0" w:color="auto"/>
          </w:divBdr>
        </w:div>
        <w:div w:id="467237975">
          <w:marLeft w:val="706"/>
          <w:marRight w:val="0"/>
          <w:marTop w:val="96"/>
          <w:marBottom w:val="0"/>
          <w:divBdr>
            <w:top w:val="none" w:sz="0" w:space="0" w:color="auto"/>
            <w:left w:val="none" w:sz="0" w:space="0" w:color="auto"/>
            <w:bottom w:val="none" w:sz="0" w:space="0" w:color="auto"/>
            <w:right w:val="none" w:sz="0" w:space="0" w:color="auto"/>
          </w:divBdr>
        </w:div>
        <w:div w:id="1756899651">
          <w:marLeft w:val="706"/>
          <w:marRight w:val="0"/>
          <w:marTop w:val="96"/>
          <w:marBottom w:val="0"/>
          <w:divBdr>
            <w:top w:val="none" w:sz="0" w:space="0" w:color="auto"/>
            <w:left w:val="none" w:sz="0" w:space="0" w:color="auto"/>
            <w:bottom w:val="none" w:sz="0" w:space="0" w:color="auto"/>
            <w:right w:val="none" w:sz="0" w:space="0" w:color="auto"/>
          </w:divBdr>
        </w:div>
      </w:divsChild>
    </w:div>
    <w:div w:id="323820400">
      <w:bodyDiv w:val="1"/>
      <w:marLeft w:val="0"/>
      <w:marRight w:val="0"/>
      <w:marTop w:val="0"/>
      <w:marBottom w:val="0"/>
      <w:divBdr>
        <w:top w:val="none" w:sz="0" w:space="0" w:color="auto"/>
        <w:left w:val="none" w:sz="0" w:space="0" w:color="auto"/>
        <w:bottom w:val="none" w:sz="0" w:space="0" w:color="auto"/>
        <w:right w:val="none" w:sz="0" w:space="0" w:color="auto"/>
      </w:divBdr>
      <w:divsChild>
        <w:div w:id="677653953">
          <w:marLeft w:val="706"/>
          <w:marRight w:val="0"/>
          <w:marTop w:val="96"/>
          <w:marBottom w:val="0"/>
          <w:divBdr>
            <w:top w:val="none" w:sz="0" w:space="0" w:color="auto"/>
            <w:left w:val="none" w:sz="0" w:space="0" w:color="auto"/>
            <w:bottom w:val="none" w:sz="0" w:space="0" w:color="auto"/>
            <w:right w:val="none" w:sz="0" w:space="0" w:color="auto"/>
          </w:divBdr>
        </w:div>
        <w:div w:id="713623926">
          <w:marLeft w:val="706"/>
          <w:marRight w:val="0"/>
          <w:marTop w:val="96"/>
          <w:marBottom w:val="0"/>
          <w:divBdr>
            <w:top w:val="none" w:sz="0" w:space="0" w:color="auto"/>
            <w:left w:val="none" w:sz="0" w:space="0" w:color="auto"/>
            <w:bottom w:val="none" w:sz="0" w:space="0" w:color="auto"/>
            <w:right w:val="none" w:sz="0" w:space="0" w:color="auto"/>
          </w:divBdr>
        </w:div>
        <w:div w:id="452752329">
          <w:marLeft w:val="706"/>
          <w:marRight w:val="0"/>
          <w:marTop w:val="96"/>
          <w:marBottom w:val="0"/>
          <w:divBdr>
            <w:top w:val="none" w:sz="0" w:space="0" w:color="auto"/>
            <w:left w:val="none" w:sz="0" w:space="0" w:color="auto"/>
            <w:bottom w:val="none" w:sz="0" w:space="0" w:color="auto"/>
            <w:right w:val="none" w:sz="0" w:space="0" w:color="auto"/>
          </w:divBdr>
        </w:div>
      </w:divsChild>
    </w:div>
    <w:div w:id="378433322">
      <w:bodyDiv w:val="1"/>
      <w:marLeft w:val="0"/>
      <w:marRight w:val="0"/>
      <w:marTop w:val="0"/>
      <w:marBottom w:val="0"/>
      <w:divBdr>
        <w:top w:val="none" w:sz="0" w:space="0" w:color="auto"/>
        <w:left w:val="none" w:sz="0" w:space="0" w:color="auto"/>
        <w:bottom w:val="none" w:sz="0" w:space="0" w:color="auto"/>
        <w:right w:val="none" w:sz="0" w:space="0" w:color="auto"/>
      </w:divBdr>
    </w:div>
    <w:div w:id="409884719">
      <w:bodyDiv w:val="1"/>
      <w:marLeft w:val="0"/>
      <w:marRight w:val="0"/>
      <w:marTop w:val="0"/>
      <w:marBottom w:val="0"/>
      <w:divBdr>
        <w:top w:val="none" w:sz="0" w:space="0" w:color="auto"/>
        <w:left w:val="none" w:sz="0" w:space="0" w:color="auto"/>
        <w:bottom w:val="none" w:sz="0" w:space="0" w:color="auto"/>
        <w:right w:val="none" w:sz="0" w:space="0" w:color="auto"/>
      </w:divBdr>
      <w:divsChild>
        <w:div w:id="463237252">
          <w:marLeft w:val="706"/>
          <w:marRight w:val="0"/>
          <w:marTop w:val="96"/>
          <w:marBottom w:val="0"/>
          <w:divBdr>
            <w:top w:val="none" w:sz="0" w:space="0" w:color="auto"/>
            <w:left w:val="none" w:sz="0" w:space="0" w:color="auto"/>
            <w:bottom w:val="none" w:sz="0" w:space="0" w:color="auto"/>
            <w:right w:val="none" w:sz="0" w:space="0" w:color="auto"/>
          </w:divBdr>
        </w:div>
      </w:divsChild>
    </w:div>
    <w:div w:id="498615429">
      <w:bodyDiv w:val="1"/>
      <w:marLeft w:val="0"/>
      <w:marRight w:val="0"/>
      <w:marTop w:val="0"/>
      <w:marBottom w:val="0"/>
      <w:divBdr>
        <w:top w:val="none" w:sz="0" w:space="0" w:color="auto"/>
        <w:left w:val="none" w:sz="0" w:space="0" w:color="auto"/>
        <w:bottom w:val="none" w:sz="0" w:space="0" w:color="auto"/>
        <w:right w:val="none" w:sz="0" w:space="0" w:color="auto"/>
      </w:divBdr>
      <w:divsChild>
        <w:div w:id="451560857">
          <w:marLeft w:val="677"/>
          <w:marRight w:val="0"/>
          <w:marTop w:val="0"/>
          <w:marBottom w:val="0"/>
          <w:divBdr>
            <w:top w:val="none" w:sz="0" w:space="0" w:color="auto"/>
            <w:left w:val="none" w:sz="0" w:space="0" w:color="auto"/>
            <w:bottom w:val="none" w:sz="0" w:space="0" w:color="auto"/>
            <w:right w:val="none" w:sz="0" w:space="0" w:color="auto"/>
          </w:divBdr>
        </w:div>
        <w:div w:id="1426532569">
          <w:marLeft w:val="706"/>
          <w:marRight w:val="0"/>
          <w:marTop w:val="96"/>
          <w:marBottom w:val="0"/>
          <w:divBdr>
            <w:top w:val="none" w:sz="0" w:space="0" w:color="auto"/>
            <w:left w:val="none" w:sz="0" w:space="0" w:color="auto"/>
            <w:bottom w:val="none" w:sz="0" w:space="0" w:color="auto"/>
            <w:right w:val="none" w:sz="0" w:space="0" w:color="auto"/>
          </w:divBdr>
        </w:div>
        <w:div w:id="831525510">
          <w:marLeft w:val="706"/>
          <w:marRight w:val="0"/>
          <w:marTop w:val="96"/>
          <w:marBottom w:val="0"/>
          <w:divBdr>
            <w:top w:val="none" w:sz="0" w:space="0" w:color="auto"/>
            <w:left w:val="none" w:sz="0" w:space="0" w:color="auto"/>
            <w:bottom w:val="none" w:sz="0" w:space="0" w:color="auto"/>
            <w:right w:val="none" w:sz="0" w:space="0" w:color="auto"/>
          </w:divBdr>
        </w:div>
        <w:div w:id="1698003517">
          <w:marLeft w:val="706"/>
          <w:marRight w:val="0"/>
          <w:marTop w:val="96"/>
          <w:marBottom w:val="0"/>
          <w:divBdr>
            <w:top w:val="none" w:sz="0" w:space="0" w:color="auto"/>
            <w:left w:val="none" w:sz="0" w:space="0" w:color="auto"/>
            <w:bottom w:val="none" w:sz="0" w:space="0" w:color="auto"/>
            <w:right w:val="none" w:sz="0" w:space="0" w:color="auto"/>
          </w:divBdr>
        </w:div>
        <w:div w:id="1945066313">
          <w:marLeft w:val="706"/>
          <w:marRight w:val="0"/>
          <w:marTop w:val="96"/>
          <w:marBottom w:val="0"/>
          <w:divBdr>
            <w:top w:val="none" w:sz="0" w:space="0" w:color="auto"/>
            <w:left w:val="none" w:sz="0" w:space="0" w:color="auto"/>
            <w:bottom w:val="none" w:sz="0" w:space="0" w:color="auto"/>
            <w:right w:val="none" w:sz="0" w:space="0" w:color="auto"/>
          </w:divBdr>
        </w:div>
        <w:div w:id="136920987">
          <w:marLeft w:val="706"/>
          <w:marRight w:val="0"/>
          <w:marTop w:val="96"/>
          <w:marBottom w:val="0"/>
          <w:divBdr>
            <w:top w:val="none" w:sz="0" w:space="0" w:color="auto"/>
            <w:left w:val="none" w:sz="0" w:space="0" w:color="auto"/>
            <w:bottom w:val="none" w:sz="0" w:space="0" w:color="auto"/>
            <w:right w:val="none" w:sz="0" w:space="0" w:color="auto"/>
          </w:divBdr>
        </w:div>
      </w:divsChild>
    </w:div>
    <w:div w:id="510799097">
      <w:bodyDiv w:val="1"/>
      <w:marLeft w:val="0"/>
      <w:marRight w:val="0"/>
      <w:marTop w:val="0"/>
      <w:marBottom w:val="0"/>
      <w:divBdr>
        <w:top w:val="none" w:sz="0" w:space="0" w:color="auto"/>
        <w:left w:val="none" w:sz="0" w:space="0" w:color="auto"/>
        <w:bottom w:val="none" w:sz="0" w:space="0" w:color="auto"/>
        <w:right w:val="none" w:sz="0" w:space="0" w:color="auto"/>
      </w:divBdr>
      <w:divsChild>
        <w:div w:id="1400903373">
          <w:marLeft w:val="706"/>
          <w:marRight w:val="0"/>
          <w:marTop w:val="96"/>
          <w:marBottom w:val="0"/>
          <w:divBdr>
            <w:top w:val="none" w:sz="0" w:space="0" w:color="auto"/>
            <w:left w:val="none" w:sz="0" w:space="0" w:color="auto"/>
            <w:bottom w:val="none" w:sz="0" w:space="0" w:color="auto"/>
            <w:right w:val="none" w:sz="0" w:space="0" w:color="auto"/>
          </w:divBdr>
        </w:div>
        <w:div w:id="1086533686">
          <w:marLeft w:val="706"/>
          <w:marRight w:val="0"/>
          <w:marTop w:val="96"/>
          <w:marBottom w:val="0"/>
          <w:divBdr>
            <w:top w:val="none" w:sz="0" w:space="0" w:color="auto"/>
            <w:left w:val="none" w:sz="0" w:space="0" w:color="auto"/>
            <w:bottom w:val="none" w:sz="0" w:space="0" w:color="auto"/>
            <w:right w:val="none" w:sz="0" w:space="0" w:color="auto"/>
          </w:divBdr>
        </w:div>
      </w:divsChild>
    </w:div>
    <w:div w:id="550844232">
      <w:bodyDiv w:val="1"/>
      <w:marLeft w:val="0"/>
      <w:marRight w:val="0"/>
      <w:marTop w:val="0"/>
      <w:marBottom w:val="0"/>
      <w:divBdr>
        <w:top w:val="none" w:sz="0" w:space="0" w:color="auto"/>
        <w:left w:val="none" w:sz="0" w:space="0" w:color="auto"/>
        <w:bottom w:val="none" w:sz="0" w:space="0" w:color="auto"/>
        <w:right w:val="none" w:sz="0" w:space="0" w:color="auto"/>
      </w:divBdr>
    </w:div>
    <w:div w:id="611859370">
      <w:bodyDiv w:val="1"/>
      <w:marLeft w:val="0"/>
      <w:marRight w:val="0"/>
      <w:marTop w:val="0"/>
      <w:marBottom w:val="0"/>
      <w:divBdr>
        <w:top w:val="none" w:sz="0" w:space="0" w:color="auto"/>
        <w:left w:val="none" w:sz="0" w:space="0" w:color="auto"/>
        <w:bottom w:val="none" w:sz="0" w:space="0" w:color="auto"/>
        <w:right w:val="none" w:sz="0" w:space="0" w:color="auto"/>
      </w:divBdr>
    </w:div>
    <w:div w:id="612982729">
      <w:bodyDiv w:val="1"/>
      <w:marLeft w:val="0"/>
      <w:marRight w:val="0"/>
      <w:marTop w:val="0"/>
      <w:marBottom w:val="0"/>
      <w:divBdr>
        <w:top w:val="none" w:sz="0" w:space="0" w:color="auto"/>
        <w:left w:val="none" w:sz="0" w:space="0" w:color="auto"/>
        <w:bottom w:val="none" w:sz="0" w:space="0" w:color="auto"/>
        <w:right w:val="none" w:sz="0" w:space="0" w:color="auto"/>
      </w:divBdr>
    </w:div>
    <w:div w:id="627586147">
      <w:bodyDiv w:val="1"/>
      <w:marLeft w:val="0"/>
      <w:marRight w:val="0"/>
      <w:marTop w:val="0"/>
      <w:marBottom w:val="0"/>
      <w:divBdr>
        <w:top w:val="none" w:sz="0" w:space="0" w:color="auto"/>
        <w:left w:val="none" w:sz="0" w:space="0" w:color="auto"/>
        <w:bottom w:val="none" w:sz="0" w:space="0" w:color="auto"/>
        <w:right w:val="none" w:sz="0" w:space="0" w:color="auto"/>
      </w:divBdr>
    </w:div>
    <w:div w:id="684593832">
      <w:bodyDiv w:val="1"/>
      <w:marLeft w:val="0"/>
      <w:marRight w:val="0"/>
      <w:marTop w:val="0"/>
      <w:marBottom w:val="0"/>
      <w:divBdr>
        <w:top w:val="none" w:sz="0" w:space="0" w:color="auto"/>
        <w:left w:val="none" w:sz="0" w:space="0" w:color="auto"/>
        <w:bottom w:val="none" w:sz="0" w:space="0" w:color="auto"/>
        <w:right w:val="none" w:sz="0" w:space="0" w:color="auto"/>
      </w:divBdr>
      <w:divsChild>
        <w:div w:id="2031100541">
          <w:marLeft w:val="677"/>
          <w:marRight w:val="0"/>
          <w:marTop w:val="0"/>
          <w:marBottom w:val="0"/>
          <w:divBdr>
            <w:top w:val="none" w:sz="0" w:space="0" w:color="auto"/>
            <w:left w:val="none" w:sz="0" w:space="0" w:color="auto"/>
            <w:bottom w:val="none" w:sz="0" w:space="0" w:color="auto"/>
            <w:right w:val="none" w:sz="0" w:space="0" w:color="auto"/>
          </w:divBdr>
        </w:div>
      </w:divsChild>
    </w:div>
    <w:div w:id="770735296">
      <w:bodyDiv w:val="1"/>
      <w:marLeft w:val="0"/>
      <w:marRight w:val="0"/>
      <w:marTop w:val="0"/>
      <w:marBottom w:val="0"/>
      <w:divBdr>
        <w:top w:val="none" w:sz="0" w:space="0" w:color="auto"/>
        <w:left w:val="none" w:sz="0" w:space="0" w:color="auto"/>
        <w:bottom w:val="none" w:sz="0" w:space="0" w:color="auto"/>
        <w:right w:val="none" w:sz="0" w:space="0" w:color="auto"/>
      </w:divBdr>
    </w:div>
    <w:div w:id="834691034">
      <w:bodyDiv w:val="1"/>
      <w:marLeft w:val="0"/>
      <w:marRight w:val="0"/>
      <w:marTop w:val="0"/>
      <w:marBottom w:val="0"/>
      <w:divBdr>
        <w:top w:val="none" w:sz="0" w:space="0" w:color="auto"/>
        <w:left w:val="none" w:sz="0" w:space="0" w:color="auto"/>
        <w:bottom w:val="none" w:sz="0" w:space="0" w:color="auto"/>
        <w:right w:val="none" w:sz="0" w:space="0" w:color="auto"/>
      </w:divBdr>
      <w:divsChild>
        <w:div w:id="41029271">
          <w:marLeft w:val="706"/>
          <w:marRight w:val="0"/>
          <w:marTop w:val="96"/>
          <w:marBottom w:val="0"/>
          <w:divBdr>
            <w:top w:val="none" w:sz="0" w:space="0" w:color="auto"/>
            <w:left w:val="none" w:sz="0" w:space="0" w:color="auto"/>
            <w:bottom w:val="none" w:sz="0" w:space="0" w:color="auto"/>
            <w:right w:val="none" w:sz="0" w:space="0" w:color="auto"/>
          </w:divBdr>
        </w:div>
      </w:divsChild>
    </w:div>
    <w:div w:id="1026566743">
      <w:bodyDiv w:val="1"/>
      <w:marLeft w:val="0"/>
      <w:marRight w:val="0"/>
      <w:marTop w:val="0"/>
      <w:marBottom w:val="0"/>
      <w:divBdr>
        <w:top w:val="none" w:sz="0" w:space="0" w:color="auto"/>
        <w:left w:val="none" w:sz="0" w:space="0" w:color="auto"/>
        <w:bottom w:val="none" w:sz="0" w:space="0" w:color="auto"/>
        <w:right w:val="none" w:sz="0" w:space="0" w:color="auto"/>
      </w:divBdr>
      <w:divsChild>
        <w:div w:id="1228607034">
          <w:marLeft w:val="706"/>
          <w:marRight w:val="0"/>
          <w:marTop w:val="96"/>
          <w:marBottom w:val="0"/>
          <w:divBdr>
            <w:top w:val="none" w:sz="0" w:space="0" w:color="auto"/>
            <w:left w:val="none" w:sz="0" w:space="0" w:color="auto"/>
            <w:bottom w:val="none" w:sz="0" w:space="0" w:color="auto"/>
            <w:right w:val="none" w:sz="0" w:space="0" w:color="auto"/>
          </w:divBdr>
        </w:div>
        <w:div w:id="472141250">
          <w:marLeft w:val="706"/>
          <w:marRight w:val="0"/>
          <w:marTop w:val="96"/>
          <w:marBottom w:val="0"/>
          <w:divBdr>
            <w:top w:val="none" w:sz="0" w:space="0" w:color="auto"/>
            <w:left w:val="none" w:sz="0" w:space="0" w:color="auto"/>
            <w:bottom w:val="none" w:sz="0" w:space="0" w:color="auto"/>
            <w:right w:val="none" w:sz="0" w:space="0" w:color="auto"/>
          </w:divBdr>
        </w:div>
        <w:div w:id="1522663709">
          <w:marLeft w:val="706"/>
          <w:marRight w:val="0"/>
          <w:marTop w:val="96"/>
          <w:marBottom w:val="0"/>
          <w:divBdr>
            <w:top w:val="none" w:sz="0" w:space="0" w:color="auto"/>
            <w:left w:val="none" w:sz="0" w:space="0" w:color="auto"/>
            <w:bottom w:val="none" w:sz="0" w:space="0" w:color="auto"/>
            <w:right w:val="none" w:sz="0" w:space="0" w:color="auto"/>
          </w:divBdr>
        </w:div>
      </w:divsChild>
    </w:div>
    <w:div w:id="1178498243">
      <w:bodyDiv w:val="1"/>
      <w:marLeft w:val="0"/>
      <w:marRight w:val="0"/>
      <w:marTop w:val="0"/>
      <w:marBottom w:val="0"/>
      <w:divBdr>
        <w:top w:val="none" w:sz="0" w:space="0" w:color="auto"/>
        <w:left w:val="none" w:sz="0" w:space="0" w:color="auto"/>
        <w:bottom w:val="none" w:sz="0" w:space="0" w:color="auto"/>
        <w:right w:val="none" w:sz="0" w:space="0" w:color="auto"/>
      </w:divBdr>
    </w:div>
    <w:div w:id="1285117552">
      <w:bodyDiv w:val="1"/>
      <w:marLeft w:val="0"/>
      <w:marRight w:val="0"/>
      <w:marTop w:val="0"/>
      <w:marBottom w:val="0"/>
      <w:divBdr>
        <w:top w:val="none" w:sz="0" w:space="0" w:color="auto"/>
        <w:left w:val="none" w:sz="0" w:space="0" w:color="auto"/>
        <w:bottom w:val="none" w:sz="0" w:space="0" w:color="auto"/>
        <w:right w:val="none" w:sz="0" w:space="0" w:color="auto"/>
      </w:divBdr>
    </w:div>
    <w:div w:id="1406563947">
      <w:bodyDiv w:val="1"/>
      <w:marLeft w:val="0"/>
      <w:marRight w:val="0"/>
      <w:marTop w:val="0"/>
      <w:marBottom w:val="0"/>
      <w:divBdr>
        <w:top w:val="none" w:sz="0" w:space="0" w:color="auto"/>
        <w:left w:val="none" w:sz="0" w:space="0" w:color="auto"/>
        <w:bottom w:val="none" w:sz="0" w:space="0" w:color="auto"/>
        <w:right w:val="none" w:sz="0" w:space="0" w:color="auto"/>
      </w:divBdr>
    </w:div>
    <w:div w:id="1691570109">
      <w:bodyDiv w:val="1"/>
      <w:marLeft w:val="0"/>
      <w:marRight w:val="0"/>
      <w:marTop w:val="0"/>
      <w:marBottom w:val="0"/>
      <w:divBdr>
        <w:top w:val="none" w:sz="0" w:space="0" w:color="auto"/>
        <w:left w:val="none" w:sz="0" w:space="0" w:color="auto"/>
        <w:bottom w:val="none" w:sz="0" w:space="0" w:color="auto"/>
        <w:right w:val="none" w:sz="0" w:space="0" w:color="auto"/>
      </w:divBdr>
    </w:div>
    <w:div w:id="1771513147">
      <w:bodyDiv w:val="1"/>
      <w:marLeft w:val="0"/>
      <w:marRight w:val="0"/>
      <w:marTop w:val="0"/>
      <w:marBottom w:val="0"/>
      <w:divBdr>
        <w:top w:val="none" w:sz="0" w:space="0" w:color="auto"/>
        <w:left w:val="none" w:sz="0" w:space="0" w:color="auto"/>
        <w:bottom w:val="none" w:sz="0" w:space="0" w:color="auto"/>
        <w:right w:val="none" w:sz="0" w:space="0" w:color="auto"/>
      </w:divBdr>
    </w:div>
    <w:div w:id="1800226255">
      <w:bodyDiv w:val="1"/>
      <w:marLeft w:val="0"/>
      <w:marRight w:val="0"/>
      <w:marTop w:val="0"/>
      <w:marBottom w:val="0"/>
      <w:divBdr>
        <w:top w:val="none" w:sz="0" w:space="0" w:color="auto"/>
        <w:left w:val="none" w:sz="0" w:space="0" w:color="auto"/>
        <w:bottom w:val="none" w:sz="0" w:space="0" w:color="auto"/>
        <w:right w:val="none" w:sz="0" w:space="0" w:color="auto"/>
      </w:divBdr>
      <w:divsChild>
        <w:div w:id="837110338">
          <w:marLeft w:val="706"/>
          <w:marRight w:val="0"/>
          <w:marTop w:val="96"/>
          <w:marBottom w:val="0"/>
          <w:divBdr>
            <w:top w:val="none" w:sz="0" w:space="0" w:color="auto"/>
            <w:left w:val="none" w:sz="0" w:space="0" w:color="auto"/>
            <w:bottom w:val="none" w:sz="0" w:space="0" w:color="auto"/>
            <w:right w:val="none" w:sz="0" w:space="0" w:color="auto"/>
          </w:divBdr>
        </w:div>
      </w:divsChild>
    </w:div>
    <w:div w:id="2067874275">
      <w:bodyDiv w:val="1"/>
      <w:marLeft w:val="0"/>
      <w:marRight w:val="0"/>
      <w:marTop w:val="0"/>
      <w:marBottom w:val="0"/>
      <w:divBdr>
        <w:top w:val="none" w:sz="0" w:space="0" w:color="auto"/>
        <w:left w:val="none" w:sz="0" w:space="0" w:color="auto"/>
        <w:bottom w:val="none" w:sz="0" w:space="0" w:color="auto"/>
        <w:right w:val="none" w:sz="0" w:space="0" w:color="auto"/>
      </w:divBdr>
      <w:divsChild>
        <w:div w:id="1759137197">
          <w:marLeft w:val="677"/>
          <w:marRight w:val="0"/>
          <w:marTop w:val="0"/>
          <w:marBottom w:val="0"/>
          <w:divBdr>
            <w:top w:val="none" w:sz="0" w:space="0" w:color="auto"/>
            <w:left w:val="none" w:sz="0" w:space="0" w:color="auto"/>
            <w:bottom w:val="none" w:sz="0" w:space="0" w:color="auto"/>
            <w:right w:val="none" w:sz="0" w:space="0" w:color="auto"/>
          </w:divBdr>
        </w:div>
        <w:div w:id="1165436486">
          <w:marLeft w:val="706"/>
          <w:marRight w:val="0"/>
          <w:marTop w:val="96"/>
          <w:marBottom w:val="0"/>
          <w:divBdr>
            <w:top w:val="none" w:sz="0" w:space="0" w:color="auto"/>
            <w:left w:val="none" w:sz="0" w:space="0" w:color="auto"/>
            <w:bottom w:val="none" w:sz="0" w:space="0" w:color="auto"/>
            <w:right w:val="none" w:sz="0" w:space="0" w:color="auto"/>
          </w:divBdr>
        </w:div>
        <w:div w:id="1677801636">
          <w:marLeft w:val="706"/>
          <w:marRight w:val="0"/>
          <w:marTop w:val="96"/>
          <w:marBottom w:val="0"/>
          <w:divBdr>
            <w:top w:val="none" w:sz="0" w:space="0" w:color="auto"/>
            <w:left w:val="none" w:sz="0" w:space="0" w:color="auto"/>
            <w:bottom w:val="none" w:sz="0" w:space="0" w:color="auto"/>
            <w:right w:val="none" w:sz="0" w:space="0" w:color="auto"/>
          </w:divBdr>
        </w:div>
        <w:div w:id="1524826548">
          <w:marLeft w:val="706"/>
          <w:marRight w:val="0"/>
          <w:marTop w:val="96"/>
          <w:marBottom w:val="0"/>
          <w:divBdr>
            <w:top w:val="none" w:sz="0" w:space="0" w:color="auto"/>
            <w:left w:val="none" w:sz="0" w:space="0" w:color="auto"/>
            <w:bottom w:val="none" w:sz="0" w:space="0" w:color="auto"/>
            <w:right w:val="none" w:sz="0" w:space="0" w:color="auto"/>
          </w:divBdr>
        </w:div>
        <w:div w:id="1808084620">
          <w:marLeft w:val="706"/>
          <w:marRight w:val="0"/>
          <w:marTop w:val="96"/>
          <w:marBottom w:val="0"/>
          <w:divBdr>
            <w:top w:val="none" w:sz="0" w:space="0" w:color="auto"/>
            <w:left w:val="none" w:sz="0" w:space="0" w:color="auto"/>
            <w:bottom w:val="none" w:sz="0" w:space="0" w:color="auto"/>
            <w:right w:val="none" w:sz="0" w:space="0" w:color="auto"/>
          </w:divBdr>
        </w:div>
        <w:div w:id="492189227">
          <w:marLeft w:val="706"/>
          <w:marRight w:val="0"/>
          <w:marTop w:val="96"/>
          <w:marBottom w:val="0"/>
          <w:divBdr>
            <w:top w:val="none" w:sz="0" w:space="0" w:color="auto"/>
            <w:left w:val="none" w:sz="0" w:space="0" w:color="auto"/>
            <w:bottom w:val="none" w:sz="0" w:space="0" w:color="auto"/>
            <w:right w:val="none" w:sz="0" w:space="0" w:color="auto"/>
          </w:divBdr>
        </w:div>
      </w:divsChild>
    </w:div>
    <w:div w:id="2080592034">
      <w:bodyDiv w:val="1"/>
      <w:marLeft w:val="0"/>
      <w:marRight w:val="0"/>
      <w:marTop w:val="0"/>
      <w:marBottom w:val="0"/>
      <w:divBdr>
        <w:top w:val="none" w:sz="0" w:space="0" w:color="auto"/>
        <w:left w:val="none" w:sz="0" w:space="0" w:color="auto"/>
        <w:bottom w:val="none" w:sz="0" w:space="0" w:color="auto"/>
        <w:right w:val="none" w:sz="0" w:space="0" w:color="auto"/>
      </w:divBdr>
      <w:divsChild>
        <w:div w:id="471364832">
          <w:marLeft w:val="706"/>
          <w:marRight w:val="0"/>
          <w:marTop w:val="96"/>
          <w:marBottom w:val="0"/>
          <w:divBdr>
            <w:top w:val="none" w:sz="0" w:space="0" w:color="auto"/>
            <w:left w:val="none" w:sz="0" w:space="0" w:color="auto"/>
            <w:bottom w:val="none" w:sz="0" w:space="0" w:color="auto"/>
            <w:right w:val="none" w:sz="0" w:space="0" w:color="auto"/>
          </w:divBdr>
        </w:div>
        <w:div w:id="2070155540">
          <w:marLeft w:val="706"/>
          <w:marRight w:val="0"/>
          <w:marTop w:val="96"/>
          <w:marBottom w:val="0"/>
          <w:divBdr>
            <w:top w:val="none" w:sz="0" w:space="0" w:color="auto"/>
            <w:left w:val="none" w:sz="0" w:space="0" w:color="auto"/>
            <w:bottom w:val="none" w:sz="0" w:space="0" w:color="auto"/>
            <w:right w:val="none" w:sz="0" w:space="0" w:color="auto"/>
          </w:divBdr>
        </w:div>
        <w:div w:id="606815523">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bel.Comedia@ph.g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erald.Sanchez@ph.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D3FC-6B40-41EC-8F68-4C0983E5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 M. Lalunio</dc:creator>
  <cp:lastModifiedBy>Windows User</cp:lastModifiedBy>
  <cp:revision>4</cp:revision>
  <cp:lastPrinted>2016-07-05T08:53:00Z</cp:lastPrinted>
  <dcterms:created xsi:type="dcterms:W3CDTF">2016-07-05T08:59:00Z</dcterms:created>
  <dcterms:modified xsi:type="dcterms:W3CDTF">2016-12-13T13:33:00Z</dcterms:modified>
</cp:coreProperties>
</file>